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B1051">
      <w:pPr>
        <w:jc w:val="center"/>
      </w:pPr>
      <w:r>
        <w:rPr>
          <w:b/>
          <w:sz w:val="26"/>
          <w:u w:val="single"/>
        </w:rPr>
        <w:t>MODELO DE PROPOSTA COMERCIAL</w:t>
      </w:r>
    </w:p>
    <w:p w14:paraId="4707165E"/>
    <w:p w14:paraId="3AF47072">
      <w:r>
        <w:t>À</w:t>
      </w:r>
    </w:p>
    <w:p w14:paraId="4F4278E2">
      <w:r>
        <w:t xml:space="preserve">Câmara Municipal de Figueiróplis d'Oeste </w:t>
      </w:r>
    </w:p>
    <w:p w14:paraId="3E420A5D">
      <w:r>
        <w:t>Att: Setor de Licitações</w:t>
      </w:r>
    </w:p>
    <w:p w14:paraId="20204DDE"/>
    <w:p w14:paraId="7E43409B">
      <w:r>
        <w:rPr>
          <w:b w:val="0"/>
        </w:rPr>
        <w:t xml:space="preserve">Dispensa: </w:t>
      </w:r>
      <w:r>
        <w:rPr>
          <w:b/>
        </w:rPr>
        <w:t>0007/2026</w:t>
      </w:r>
    </w:p>
    <w:p w14:paraId="2FB3CA50">
      <w:r>
        <w:rPr>
          <w:b/>
        </w:rPr>
        <w:t xml:space="preserve">Assunto: </w:t>
      </w:r>
      <w:r>
        <w:t>Contratação de empresa especializada para prestação de serviço de recarga, manutenção e testes de extintores, visando assegurar a plena funcionalidade e a conformidade dos equipamentos com as normas de segurança vigentes no âmbito da instituição.</w:t>
      </w:r>
      <w:r>
        <w:br w:type="textWrapping"/>
      </w:r>
    </w:p>
    <w:p w14:paraId="1E0FAB70">
      <w:r>
        <w:rPr>
          <w:b/>
        </w:rPr>
        <w:t>CNPJ :</w:t>
      </w:r>
      <w:r>
        <w:t xml:space="preserve"> </w:t>
      </w:r>
    </w:p>
    <w:p w14:paraId="595FB3E6">
      <w:r>
        <w:rPr>
          <w:b/>
        </w:rPr>
        <w:t>Razão Social :</w:t>
      </w:r>
      <w:r>
        <w:t xml:space="preserve"> </w:t>
      </w:r>
    </w:p>
    <w:p w14:paraId="5850298C">
      <w:r>
        <w:rPr>
          <w:b/>
        </w:rPr>
        <w:t>Nome Fantasia :</w:t>
      </w:r>
      <w:r>
        <w:t xml:space="preserve"> </w:t>
      </w:r>
    </w:p>
    <w:p w14:paraId="6DE2E487">
      <w:r>
        <w:rPr>
          <w:b/>
        </w:rPr>
        <w:t>Endereço :</w:t>
      </w:r>
      <w:r>
        <w:t xml:space="preserve"> </w:t>
      </w:r>
    </w:p>
    <w:p w14:paraId="0A886F36">
      <w:r>
        <w:rPr>
          <w:b/>
        </w:rPr>
        <w:t>Telefone :</w:t>
      </w:r>
      <w:r>
        <w:t xml:space="preserve"> </w:t>
      </w:r>
    </w:p>
    <w:p w14:paraId="367866CF">
      <w:r>
        <w:rPr>
          <w:b/>
        </w:rPr>
        <w:t>E-mail :</w:t>
      </w:r>
      <w:r>
        <w:t xml:space="preserve"> 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"/>
        <w:gridCol w:w="3831"/>
        <w:gridCol w:w="727"/>
        <w:gridCol w:w="1117"/>
        <w:gridCol w:w="1402"/>
        <w:gridCol w:w="1373"/>
      </w:tblGrid>
      <w:tr w14:paraId="1A792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6" w:type="dxa"/>
          </w:tcPr>
          <w:p w14:paraId="7F662244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3831" w:type="dxa"/>
          </w:tcPr>
          <w:p w14:paraId="74A43607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727" w:type="dxa"/>
          </w:tcPr>
          <w:p w14:paraId="54D43577">
            <w:pPr>
              <w:spacing w:after="0" w:line="240" w:lineRule="auto"/>
            </w:pPr>
            <w:r>
              <w:rPr>
                <w:b/>
              </w:rPr>
              <w:t>Qtd/Un</w:t>
            </w:r>
          </w:p>
        </w:tc>
        <w:tc>
          <w:tcPr>
            <w:tcW w:w="1117" w:type="dxa"/>
          </w:tcPr>
          <w:p w14:paraId="1A9312E5">
            <w:pPr>
              <w:spacing w:after="0" w:line="240" w:lineRule="auto"/>
            </w:pPr>
            <w:r>
              <w:rPr>
                <w:b/>
              </w:rPr>
              <w:t>Marca/Modelo</w:t>
            </w:r>
          </w:p>
        </w:tc>
        <w:tc>
          <w:tcPr>
            <w:tcW w:w="1402" w:type="dxa"/>
          </w:tcPr>
          <w:p w14:paraId="659FF264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373" w:type="dxa"/>
          </w:tcPr>
          <w:p w14:paraId="12734ABD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69DF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</w:tcPr>
          <w:p w14:paraId="116373E0">
            <w:pPr>
              <w:spacing w:after="0" w:line="240" w:lineRule="auto"/>
            </w:pPr>
            <w:r>
              <w:t>1</w:t>
            </w:r>
          </w:p>
        </w:tc>
        <w:tc>
          <w:tcPr>
            <w:tcW w:w="3831" w:type="dxa"/>
          </w:tcPr>
          <w:p w14:paraId="132FEC06">
            <w:pPr>
              <w:spacing w:after="0" w:line="240" w:lineRule="auto"/>
            </w:pPr>
            <w:r>
              <w:rPr>
                <w:b/>
              </w:rPr>
              <w:t>Recarga de Extintor PQS, ABC 6kg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Recarga de Extintor de Incêndio, Pó Químico Seco (PQS), ABC, capacidade de 6 kg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1. Objeto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Serviço especializado de recarga de extintores de incêndio classificados como ABC, contendo pó químico seco (PQS) e com capacidade nominal de 6 kg, conforme normas técnicas vigentes.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2. Requisitos Técnicos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Processo de recarga realizado com equipamento apropriado que assegure a completa substituição do agente extintor, garantindo a eficiência e segurança do extintor.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Utilização de PQS padrão ABC, com composição química que cubra a classe A (materiais sólidos), B (líquidos inflamáveis) e C (gases inflamáveis) de incêndio.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- Procedimentos de selagem, teste hidrostático (quando aplicável) e verificação da pressão interna, conforme especificações técnicas.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- Validação e certificação final do extintor após recarga, assegurando sua operação eficaz em caso de incêndio.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3. Embalagem e Entrega 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O extintor recarregado deverá ser entregue em perfeitas condições de funcionamento, com etiqueta ou lacre comprovando a data da recarga e respeitando os prazos regulamentares para inspeção subsequente.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Este serviço visa garantir a revitalização completa e segura dos extintores, assegurando a conformidade técnica e operacional do equipamento contra incêndios.</w:t>
            </w:r>
            <w:r>
              <w:rPr>
                <w:b/>
              </w:rPr>
              <w:br w:type="textWrapping"/>
            </w:r>
          </w:p>
        </w:tc>
        <w:tc>
          <w:tcPr>
            <w:tcW w:w="727" w:type="dxa"/>
          </w:tcPr>
          <w:p w14:paraId="41CD100E">
            <w:pPr>
              <w:spacing w:after="0" w:line="240" w:lineRule="auto"/>
            </w:pPr>
            <w:r>
              <w:t>1.00  UN</w:t>
            </w:r>
          </w:p>
        </w:tc>
        <w:tc>
          <w:tcPr>
            <w:tcW w:w="1117" w:type="dxa"/>
          </w:tcPr>
          <w:p w14:paraId="495AF5C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02" w:type="dxa"/>
          </w:tcPr>
          <w:p w14:paraId="4CAE94A2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73" w:type="dxa"/>
          </w:tcPr>
          <w:p w14:paraId="260F9330">
            <w:pPr>
              <w:spacing w:after="0" w:line="240" w:lineRule="auto"/>
            </w:pPr>
            <w:r>
              <w:t xml:space="preserve">R$: </w:t>
            </w:r>
          </w:p>
        </w:tc>
      </w:tr>
      <w:tr w14:paraId="6F29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6" w:type="dxa"/>
          </w:tcPr>
          <w:p w14:paraId="652F53E1">
            <w:pPr>
              <w:spacing w:after="0" w:line="240" w:lineRule="auto"/>
            </w:pPr>
            <w:r>
              <w:t>2</w:t>
            </w:r>
          </w:p>
        </w:tc>
        <w:tc>
          <w:tcPr>
            <w:tcW w:w="3831" w:type="dxa"/>
          </w:tcPr>
          <w:p w14:paraId="06BB3D6F">
            <w:pPr>
              <w:spacing w:after="0" w:line="240" w:lineRule="auto"/>
            </w:pPr>
            <w:r>
              <w:rPr>
                <w:b/>
              </w:rPr>
              <w:t>Recarga de Extintor PQS, BC 8kg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Recarga de Extintor Tipo PQS (Pó Químico Seco), Capacidade 8 kg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Descrição Técnica e Funcional: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1. Tipo e Capacida­de: Recarga de extintores de incêndio com pó químico seco (PQS), do tipo portátil, com capacidade nominal para 8 kg de agente extintor.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Composição do Agente Extintor: Utilização de pó químico seco compatível com as normas técnicas vigentes, garantindo eficácia na extinção de incêndios das classes B ( líquidos inflamáveis) e C (equipamentos e instalações elétricas energizadas).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Procedimento de Recarga: Completa substituição do conteúdo extintor, incluindo acondicionamento do pó químico em quantia adequada, inspeção e troca das vedações internas e enchimento conforme especificações técnicas, para assegurar a funcionalidade e a segurança operacional do equipamento.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4. Controle de Qualidade: Garantia de composição e peso conforme a especificação, revelando conformidade com os parâmetros técnicos e regulatórias aplicáveis; certificado de recarga emitido para cada unidade fornecida.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5. Preservação do Equipamento: Manuseio e recarga mediante equipamentos calibrados e profissionais habilitados, respeitando normas de segurança contra deteriorações e danos ao extintor.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Esta contratação visa prover a revitalização adequada de extintores PQS de 8 kg, indispensáveis para a proteção contra incêndios em ambientes administrativos, industrial e comercial.</w:t>
            </w:r>
            <w:bookmarkStart w:id="0" w:name="_GoBack"/>
            <w:bookmarkEnd w:id="0"/>
          </w:p>
        </w:tc>
        <w:tc>
          <w:tcPr>
            <w:tcW w:w="727" w:type="dxa"/>
          </w:tcPr>
          <w:p w14:paraId="4997629B">
            <w:pPr>
              <w:spacing w:after="0" w:line="240" w:lineRule="auto"/>
            </w:pPr>
            <w:r>
              <w:t>2.00  UN</w:t>
            </w:r>
          </w:p>
        </w:tc>
        <w:tc>
          <w:tcPr>
            <w:tcW w:w="1117" w:type="dxa"/>
          </w:tcPr>
          <w:p w14:paraId="4D18B4EB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02" w:type="dxa"/>
          </w:tcPr>
          <w:p w14:paraId="0A271F62">
            <w:pPr>
              <w:spacing w:after="0" w:line="240" w:lineRule="auto"/>
            </w:pPr>
            <w:r>
              <w:t xml:space="preserve">R$: </w:t>
            </w:r>
          </w:p>
        </w:tc>
        <w:tc>
          <w:tcPr>
            <w:tcW w:w="1373" w:type="dxa"/>
          </w:tcPr>
          <w:p w14:paraId="4CCE222E">
            <w:pPr>
              <w:spacing w:after="0" w:line="240" w:lineRule="auto"/>
            </w:pPr>
            <w:r>
              <w:t xml:space="preserve">R$: </w:t>
            </w:r>
          </w:p>
        </w:tc>
      </w:tr>
      <w:tr w14:paraId="38BB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1" w:type="dxa"/>
            <w:gridSpan w:val="4"/>
          </w:tcPr>
          <w:p w14:paraId="0BC9F47C">
            <w:pPr>
              <w:spacing w:after="0" w:line="240" w:lineRule="auto"/>
              <w:jc w:val="right"/>
            </w:pPr>
            <w:r>
              <w:rPr>
                <w:b/>
              </w:rPr>
              <w:t>TOTAL GERAL:</w:t>
            </w:r>
          </w:p>
        </w:tc>
        <w:tc>
          <w:tcPr>
            <w:tcW w:w="2775" w:type="dxa"/>
            <w:gridSpan w:val="2"/>
          </w:tcPr>
          <w:p w14:paraId="1603849F">
            <w:pPr>
              <w:spacing w:after="0" w:line="240" w:lineRule="auto"/>
            </w:pPr>
          </w:p>
        </w:tc>
      </w:tr>
    </w:tbl>
    <w:p w14:paraId="2D0D13D4">
      <w:pPr>
        <w:jc w:val="both"/>
      </w:pPr>
      <w:r>
        <w:br w:type="textWrapping"/>
      </w:r>
      <w:r>
        <w:t>O prazo de validade desta proposta comercial é de 60 dias, contados da data de seu cadastro ou envio.</w:t>
      </w:r>
    </w:p>
    <w:p w14:paraId="50A4E7AB">
      <w:pPr>
        <w:jc w:val="both"/>
      </w:pPr>
      <w:r>
        <w:t xml:space="preserve">Os preços contidos nesta proposta incluem todos os custos diretos e indiretos para a entrega dos objetos desta contratação, inclusive as despesas com transportes, materiais, mão-de-obra especializada ou não, seguros em geral, equipamentos, ferramentas, encargos da legislação social, trabalhista e previdenciária, quaisquer danos causados a terceiros ou dispêndios resultantes de taxas, regulamentos e impostos Municipais, Estaduais e Federais, tributos incidentes, taxa de administração, material, serviços, seguros, frete, embalagens, lucro, honorários profissionais, despesas de hospedagem, alimentação e deslocamento dos profissionais e outros necessários ao cumprimento integral do objeto desta contratação, não sendo permitida a cobrança de qualquer valor adicional ou reembolso de despesas que não estejam expressamente previstos nesta proposta comercial. </w:t>
      </w:r>
    </w:p>
    <w:p w14:paraId="15A95A85">
      <w:r>
        <w:br w:type="textWrapping"/>
      </w:r>
      <w:r>
        <w:br w:type="textWrapping"/>
      </w:r>
    </w:p>
    <w:p w14:paraId="459CA23D">
      <w:pPr>
        <w:jc w:val="center"/>
      </w:pPr>
      <w:r>
        <w:t>__________________________________________</w:t>
      </w:r>
      <w:r>
        <w:br w:type="textWrapping"/>
      </w:r>
      <w:r>
        <w:rPr>
          <w:b/>
        </w:rPr>
        <w:t>Assinatura Representante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2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uiPriority w:val="99"/>
  </w:style>
  <w:style w:type="character" w:customStyle="1" w:styleId="47">
    <w:name w:val="Body Text 2 Char"/>
    <w:basedOn w:val="11"/>
    <w:link w:val="24"/>
    <w:uiPriority w:val="99"/>
  </w:style>
  <w:style w:type="character" w:customStyle="1" w:styleId="48">
    <w:name w:val="Body Text 3 Char"/>
    <w:basedOn w:val="11"/>
    <w:link w:val="22"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485</Words>
  <Characters>2851</Characters>
  <Lines>0</Lines>
  <Paragraphs>0</Paragraphs>
  <TotalTime>2</TotalTime>
  <ScaleCrop>false</ScaleCrop>
  <LinksUpToDate>false</LinksUpToDate>
  <CharactersWithSpaces>3318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ASSESSORIA TECNICA</cp:lastModifiedBy>
  <dcterms:modified xsi:type="dcterms:W3CDTF">2026-07-08T13:47:10Z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eyJoZGlkIjoiNDAzZjc0ODg3ZjgyYzc5ODExYTg0MzFmNGI3YWYwZmMiLCJ1c2VySWQiOiIxMjM2OTUxMjI2MDA0In0=</vt:lpwstr>
  </property>
  <property fmtid="{D5CDD505-2E9C-101B-9397-08002B2CF9AE}" pid="3" name="KSOProductBuildVer">
    <vt:lpwstr>1046-12.1.0.26880</vt:lpwstr>
  </property>
  <property fmtid="{D5CDD505-2E9C-101B-9397-08002B2CF9AE}" pid="4" name="ICV">
    <vt:lpwstr>A8B7F314475C46B584F5400DBB9F5EB6_12</vt:lpwstr>
  </property>
</Properties>
</file>