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  <w:u w:val="single"/>
        </w:rPr>
        <w:t>MODELO DE PROPOSTA COMERCIAL</w:t>
      </w:r>
    </w:p>
    <w:p/>
    <w:p>
      <w:r>
        <w:t>À</w:t>
      </w:r>
    </w:p>
    <w:p>
      <w:r>
        <w:t xml:space="preserve">Câmara Municipal de Figueiróplis d'Oeste </w:t>
      </w:r>
    </w:p>
    <w:p>
      <w:r>
        <w:t>Att: Setor de Licitações</w:t>
      </w:r>
    </w:p>
    <w:p/>
    <w:p>
      <w:r>
        <w:rPr>
          <w:b w:val="0"/>
        </w:rPr>
        <w:t xml:space="preserve">Dispensa: </w:t>
      </w:r>
      <w:r>
        <w:rPr>
          <w:b/>
        </w:rPr>
        <w:t>0008/2026</w:t>
      </w:r>
    </w:p>
    <w:p>
      <w:r>
        <w:rPr>
          <w:b/>
        </w:rPr>
        <w:t xml:space="preserve">Assunto: </w:t>
      </w:r>
      <w:r>
        <w:t>Contratação de empresa especializada para execução integral de concurso público, englobando a elaboração e publicação de todos os editais pertinentes ao certame, bem como a preparação, confecção, impressão e correção das provas. Inclui ainda o processamento dos resultados referentes a todas as etapas do concurso, com a finalidade de prover a vaga disponibilizada no plano de cargos, carreira e salários.</w:t>
      </w:r>
      <w:r>
        <w:br/>
      </w:r>
    </w:p>
    <w:p>
      <w:r>
        <w:rPr>
          <w:b/>
        </w:rPr>
        <w:t>CNPJ :</w:t>
      </w:r>
      <w:r>
        <w:t xml:space="preserve"> </w:t>
      </w:r>
    </w:p>
    <w:p>
      <w:r>
        <w:rPr>
          <w:b/>
        </w:rPr>
        <w:t>Razão Social :</w:t>
      </w:r>
      <w:r>
        <w:t xml:space="preserve"> </w:t>
      </w:r>
    </w:p>
    <w:p>
      <w:r>
        <w:rPr>
          <w:b/>
        </w:rPr>
        <w:t>Nome Fantasia :</w:t>
      </w:r>
      <w:r>
        <w:t xml:space="preserve"> </w:t>
      </w:r>
    </w:p>
    <w:p>
      <w:r>
        <w:rPr>
          <w:b/>
        </w:rPr>
        <w:t>Endereço :</w:t>
      </w:r>
      <w:r>
        <w:t xml:space="preserve"> </w:t>
      </w:r>
    </w:p>
    <w:p>
      <w:r>
        <w:rPr>
          <w:b/>
        </w:rPr>
        <w:t>Telefone :</w:t>
      </w:r>
      <w:r>
        <w:t xml:space="preserve"> </w:t>
      </w:r>
    </w:p>
    <w:p>
      <w:r>
        <w:rPr>
          <w:b/>
        </w:rPr>
        <w:t>E-mail :</w:t>
      </w:r>
      <w:r>
        <w:t xml:space="preserve"> 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504"/>
        <w:gridCol w:w="4320"/>
        <w:gridCol w:w="792"/>
        <w:gridCol w:w="936"/>
        <w:gridCol w:w="1368"/>
        <w:gridCol w:w="1368"/>
      </w:tblGrid>
      <w:tr>
        <w:tc>
          <w:tcPr>
            <w:tcW w:type="dxa" w:w="504"/>
          </w:tcPr>
          <w:p>
            <w:r>
              <w:rPr>
                <w:b/>
              </w:rPr>
              <w:t>Nº</w:t>
            </w:r>
          </w:p>
        </w:tc>
        <w:tc>
          <w:tcPr>
            <w:tcW w:type="dxa" w:w="4320"/>
          </w:tcPr>
          <w:p>
            <w:r>
              <w:rPr>
                <w:b/>
              </w:rPr>
              <w:t>Descrição do Item</w:t>
            </w:r>
          </w:p>
        </w:tc>
        <w:tc>
          <w:tcPr>
            <w:tcW w:type="dxa" w:w="792"/>
          </w:tcPr>
          <w:p>
            <w:r>
              <w:rPr>
                <w:b/>
              </w:rPr>
              <w:t>Qtd.</w:t>
            </w:r>
          </w:p>
        </w:tc>
        <w:tc>
          <w:tcPr>
            <w:tcW w:type="dxa" w:w="936"/>
          </w:tcPr>
          <w:p>
            <w:r>
              <w:rPr>
                <w:b/>
              </w:rPr>
              <w:t>Unidade</w:t>
            </w:r>
          </w:p>
        </w:tc>
        <w:tc>
          <w:tcPr>
            <w:tcW w:type="dxa" w:w="1368"/>
          </w:tcPr>
          <w:p>
            <w:r>
              <w:rPr>
                <w:b/>
              </w:rPr>
              <w:t>Valor Unitário</w:t>
            </w:r>
          </w:p>
        </w:tc>
        <w:tc>
          <w:tcPr>
            <w:tcW w:type="dxa" w:w="1368"/>
          </w:tcPr>
          <w:p>
            <w:r>
              <w:rPr>
                <w:b/>
              </w:rPr>
              <w:t>Valor Total</w:t>
            </w:r>
          </w:p>
        </w:tc>
      </w:tr>
      <w:tr>
        <w:tc>
          <w:tcPr>
            <w:tcW w:type="dxa" w:w="504"/>
          </w:tcPr>
          <w:p>
            <w:r>
              <w:t>1</w:t>
            </w:r>
          </w:p>
        </w:tc>
        <w:tc>
          <w:tcPr>
            <w:tcW w:type="dxa" w:w="4320"/>
          </w:tcPr>
          <w:p>
            <w:r>
              <w:rPr>
                <w:b/>
              </w:rPr>
              <w:t>Contratação de empresa especializada para a realização de concurso público</w:t>
            </w:r>
            <w:r>
              <w:rPr>
                <w:sz w:val="18"/>
              </w:rPr>
              <w:br/>
              <w:t xml:space="preserve">Contratação de empresa especializada para a realização integral de concurso público destinado ao Cargo de Analista Administrativo, conforme disposto na Lei Complementar nº 021/2014, atualizada pela Lei nº 79/2026, abrangendo as seguintes etapas e responsabilidades: </w:t>
              <w:br/>
              <w:br/>
              <w:br/>
              <w:br/>
              <w:t>1. Elaboração e disponibilização do edital contendo todas as informações, instruções e orientações necessárias para a participação dos candidatos;</w:t>
              <w:br/>
              <w:br/>
              <w:br/>
              <w:br/>
              <w:t>2. Produção, controle de qualidade e impressão do material de provas, compreendendo prova objetiva com 40 questões de múltipla escolha (alternativas A, B, C e D) e prova dissertativa;</w:t>
              <w:br/>
              <w:br/>
              <w:br/>
              <w:br/>
              <w:t>3. Planejamento e execução da logística para aplicação dos exames em datas e locais pré-estabelecidos, assegurando infraestrutura, materiais e equipe de suporte adequados;</w:t>
              <w:br/>
              <w:br/>
              <w:br/>
              <w:br/>
              <w:t>4. Correção das provas objetivas por sistema eletrônico de leitura óptica ou similar, correção criteriosa das provas dissertativas mediante avaliação técnica especializada, apuração dos resultados, classificação dos candidatos e sistematização dos dados gerados;</w:t>
              <w:br/>
              <w:br/>
              <w:br/>
              <w:br/>
              <w:t>5. Publicação oficial dos resultados finais em veículos de divulgação oficiais e canais institucionais, garantindo ampla transparência e acesso público;</w:t>
              <w:br/>
              <w:br/>
              <w:br/>
              <w:br/>
              <w:t>6. Prestação de suporte administrativo e técnico durante todas as fases do concurso, observando rigorosamente as normativas legais e regulatórias vigentes, assegurando legalidade, transparência, imparcialidade, confidencialidade e eficiência na condução do certame.</w:t>
            </w:r>
          </w:p>
        </w:tc>
        <w:tc>
          <w:tcPr>
            <w:tcW w:type="dxa" w:w="792"/>
          </w:tcPr>
          <w:p>
            <w:r>
              <w:t>1.00</w:t>
            </w:r>
          </w:p>
        </w:tc>
        <w:tc>
          <w:tcPr>
            <w:tcW w:type="dxa" w:w="936"/>
          </w:tcPr>
          <w:p>
            <w:r>
              <w:t>UN</w:t>
            </w:r>
          </w:p>
        </w:tc>
        <w:tc>
          <w:tcPr>
            <w:tcW w:type="dxa" w:w="1368"/>
          </w:tcPr>
          <w:p>
            <w:r>
              <w:t xml:space="preserve">R$: </w:t>
            </w:r>
          </w:p>
        </w:tc>
        <w:tc>
          <w:tcPr>
            <w:tcW w:type="dxa" w:w="1368"/>
          </w:tcPr>
          <w:p>
            <w:r>
              <w:t xml:space="preserve">R$: </w:t>
            </w:r>
          </w:p>
        </w:tc>
      </w:tr>
      <w:tr>
        <w:tc>
          <w:tcPr>
            <w:tcW w:type="dxa" w:w="6552"/>
            <w:gridSpan w:val="4"/>
          </w:tcPr>
          <w:p>
            <w:pPr>
              <w:jc w:val="right"/>
            </w:pPr>
            <w:r>
              <w:rPr>
                <w:b/>
              </w:rPr>
              <w:t>TOTAL GERAL:</w:t>
            </w:r>
          </w:p>
        </w:tc>
        <w:tc>
          <w:tcPr>
            <w:tcW w:type="dxa" w:w="2736"/>
            <w:gridSpan w:val="2"/>
          </w:tcPr>
          <w:p>
            <w:r>
              <w:rPr>
                <w:b/>
              </w:rPr>
              <w:t xml:space="preserve">R$: </w:t>
            </w:r>
          </w:p>
        </w:tc>
      </w:tr>
    </w:tbl>
    <w:p>
      <w:pPr>
        <w:jc w:val="both"/>
      </w:pPr>
      <w:r>
        <w:br/>
        <w:t>O prazo de validade desta proposta comercial é de 60 dias, contados da data de seu cadastro ou envio.</w:t>
      </w:r>
    </w:p>
    <w:p>
      <w:pPr>
        <w:jc w:val="both"/>
      </w:pPr>
      <w:r>
        <w:t xml:space="preserve">Os preços contidos nesta proposta incluem todos os custos diretos e indiretos para a entrega dos objetos desta contratação, inclusive as despesas com transportes, materiais, mão-de-obra especializada ou não, seguros em geral, equipamentos, ferramentas, encargos da legislação social, trabalhista e previdenciária, quaisquer danos causados a terceiros ou dispêndios resultantes de taxas, regulamentos e impostos Municipais, Estaduais e Federais, tributos incidentes, taxa de administração, material, serviços, seguros, frete, embalagens, lucro, honorários profissionais, despesas de hospedagem, alimentação e deslocamento dos profissionais e outros necessários ao cumprimento integral do objeto desta contratação, não sendo permitida a cobrança de qualquer valor adicional ou reembolso de despesas que não estejam expressamente previstos nesta proposta comercial. </w:t>
      </w:r>
    </w:p>
    <w:p>
      <w:r>
        <w:br/>
        <w:br/>
      </w:r>
    </w:p>
    <w:p>
      <w:pPr>
        <w:jc w:val="center"/>
      </w:pPr>
      <w:r>
        <w:t>__________________________________________</w:t>
        <w:br/>
      </w:r>
      <w:r>
        <w:rPr>
          <w:b/>
        </w:rPr>
        <w:t>Assinatura Representante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