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  <w:u w:val="single"/>
        </w:rPr>
        <w:t>MODELO DE PROPOSTA COMERCIAL</w:t>
      </w:r>
    </w:p>
    <w:p/>
    <w:p>
      <w:r>
        <w:t>À</w:t>
      </w:r>
    </w:p>
    <w:p>
      <w:r>
        <w:t xml:space="preserve">Câmara Municipal de Figueiróplis d'Oeste </w:t>
      </w:r>
    </w:p>
    <w:p>
      <w:r>
        <w:t>Att: Setor de Licitações</w:t>
      </w:r>
    </w:p>
    <w:p/>
    <w:p>
      <w:r>
        <w:rPr>
          <w:b w:val="0"/>
        </w:rPr>
        <w:t xml:space="preserve">Dispensa: </w:t>
      </w:r>
      <w:r>
        <w:rPr>
          <w:b/>
        </w:rPr>
        <w:t>0007/2026</w:t>
      </w:r>
    </w:p>
    <w:p>
      <w:r>
        <w:rPr>
          <w:b/>
        </w:rPr>
        <w:t xml:space="preserve">Assunto: </w:t>
      </w:r>
      <w:r>
        <w:t>Contratação de empresa especializada para prestação de serviço de recarga, manutenção e testes de extintores, visando assegurar a plena funcionalidade e a conformidade dos equipamentos com as normas de segurança vigentes no âmbito da instituição.</w:t>
      </w:r>
      <w:r>
        <w:br/>
      </w:r>
    </w:p>
    <w:p>
      <w:r>
        <w:rPr>
          <w:b/>
        </w:rPr>
        <w:t>CNPJ :</w:t>
      </w:r>
      <w:r>
        <w:t xml:space="preserve"> </w:t>
      </w:r>
    </w:p>
    <w:p>
      <w:r>
        <w:rPr>
          <w:b/>
        </w:rPr>
        <w:t>Razão Social :</w:t>
      </w:r>
      <w:r>
        <w:t xml:space="preserve"> </w:t>
      </w:r>
    </w:p>
    <w:p>
      <w:r>
        <w:rPr>
          <w:b/>
        </w:rPr>
        <w:t>Nome Fantasia :</w:t>
      </w:r>
      <w:r>
        <w:t xml:space="preserve"> </w:t>
      </w:r>
    </w:p>
    <w:p>
      <w:r>
        <w:rPr>
          <w:b/>
        </w:rPr>
        <w:t>Endereço :</w:t>
      </w:r>
      <w:r>
        <w:t xml:space="preserve"> </w:t>
      </w:r>
    </w:p>
    <w:p>
      <w:r>
        <w:rPr>
          <w:b/>
        </w:rPr>
        <w:t>Telefone :</w:t>
      </w:r>
      <w:r>
        <w:t xml:space="preserve"> </w:t>
      </w:r>
    </w:p>
    <w:p>
      <w:r>
        <w:rPr>
          <w:b/>
        </w:rPr>
        <w:t>E-mail :</w:t>
      </w:r>
      <w:r>
        <w:t xml:space="preserve"> 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04"/>
        <w:gridCol w:w="4320"/>
        <w:gridCol w:w="792"/>
        <w:gridCol w:w="936"/>
        <w:gridCol w:w="1368"/>
        <w:gridCol w:w="1368"/>
      </w:tblGrid>
      <w:tr>
        <w:tc>
          <w:tcPr>
            <w:tcW w:type="dxa" w:w="504"/>
          </w:tcPr>
          <w:p>
            <w:r>
              <w:rPr>
                <w:b/>
              </w:rPr>
              <w:t>Nº</w:t>
            </w:r>
          </w:p>
        </w:tc>
        <w:tc>
          <w:tcPr>
            <w:tcW w:type="dxa" w:w="4320"/>
          </w:tcPr>
          <w:p>
            <w:r>
              <w:rPr>
                <w:b/>
              </w:rPr>
              <w:t>Descrição do Item</w:t>
            </w:r>
          </w:p>
        </w:tc>
        <w:tc>
          <w:tcPr>
            <w:tcW w:type="dxa" w:w="792"/>
          </w:tcPr>
          <w:p>
            <w:r>
              <w:rPr>
                <w:b/>
              </w:rPr>
              <w:t>Qtd.</w:t>
            </w:r>
          </w:p>
        </w:tc>
        <w:tc>
          <w:tcPr>
            <w:tcW w:type="dxa" w:w="936"/>
          </w:tcPr>
          <w:p>
            <w:r>
              <w:rPr>
                <w:b/>
              </w:rPr>
              <w:t>Unidade</w:t>
            </w:r>
          </w:p>
        </w:tc>
        <w:tc>
          <w:tcPr>
            <w:tcW w:type="dxa" w:w="1368"/>
          </w:tcPr>
          <w:p>
            <w:r>
              <w:rPr>
                <w:b/>
              </w:rPr>
              <w:t>Valor Unitário</w:t>
            </w:r>
          </w:p>
        </w:tc>
        <w:tc>
          <w:tcPr>
            <w:tcW w:type="dxa" w:w="1368"/>
          </w:tcPr>
          <w:p>
            <w:r>
              <w:rPr>
                <w:b/>
              </w:rPr>
              <w:t>Valor Total</w:t>
            </w:r>
          </w:p>
        </w:tc>
      </w:tr>
      <w:tr>
        <w:tc>
          <w:tcPr>
            <w:tcW w:type="dxa" w:w="504"/>
          </w:tcPr>
          <w:p>
            <w:r>
              <w:t>1</w:t>
            </w:r>
          </w:p>
        </w:tc>
        <w:tc>
          <w:tcPr>
            <w:tcW w:type="dxa" w:w="4320"/>
          </w:tcPr>
          <w:p>
            <w:r>
              <w:rPr>
                <w:b/>
              </w:rPr>
              <w:t>Recarga de Extintor PQS, ABC 6kg</w:t>
            </w:r>
            <w:r>
              <w:rPr>
                <w:sz w:val="18"/>
              </w:rPr>
              <w:br/>
              <w:t>Recarga de Extintor de Incêndio, Pó Químico Seco (PQS), ABC, capacidade de 6 kg</w:t>
              <w:br/>
              <w:br/>
              <w:br/>
              <w:br/>
              <w:t xml:space="preserve">1. Objeto  </w:t>
              <w:br/>
              <w:br/>
              <w:t>Serviço especializado de recarga de extintores de incêndio classificados como ABC, contendo pó químico seco (PQS) e com capacidade nominal de 6 kg, conforme normas técnicas vigentes.</w:t>
              <w:br/>
              <w:br/>
              <w:br/>
              <w:br/>
              <w:t xml:space="preserve">2. Requisitos Técnicos  </w:t>
              <w:br/>
              <w:br/>
              <w:t xml:space="preserve">- Processo de recarga realizado com equipamento apropriado que assegure a completa substituição do agente extintor, garantindo a eficiência e segurança do extintor.  </w:t>
              <w:br/>
              <w:br/>
              <w:t xml:space="preserve">- Utilização de PQS padrão ABC, com composição química que cubra a classe A (materiais sólidos), B (líquidos inflamáveis) e C (gases inflamáveis) de incêndio.  </w:t>
              <w:br/>
              <w:br/>
              <w:t xml:space="preserve">- Procedimentos de selagem, teste hidrostático (quando aplicável) e verificação da pressão interna, conforme especificações técnicas.  </w:t>
              <w:br/>
              <w:br/>
              <w:t>- Validação e certificação final do extintor após recarga, assegurando sua operação eficaz em caso de incêndio.</w:t>
              <w:br/>
              <w:br/>
              <w:br/>
              <w:br/>
              <w:t xml:space="preserve">3. Embalagem e Entrega  </w:t>
              <w:br/>
              <w:br/>
              <w:t>O extintor recarregado deverá ser entregue em perfeitas condições de funcionamento, com etiqueta ou lacre comprovando a data da recarga e respeitando os prazos regulamentares para inspeção subsequente.</w:t>
              <w:br/>
              <w:br/>
              <w:br/>
              <w:br/>
              <w:t>Este serviço visa garantir a revitalização completa e segura dos extintores, assegurando a conformidade técnica e operacional do equipamento contra incêndios.</w:t>
            </w:r>
          </w:p>
        </w:tc>
        <w:tc>
          <w:tcPr>
            <w:tcW w:type="dxa" w:w="792"/>
          </w:tcPr>
          <w:p>
            <w:r>
              <w:t>1.00</w:t>
            </w:r>
          </w:p>
        </w:tc>
        <w:tc>
          <w:tcPr>
            <w:tcW w:type="dxa" w:w="936"/>
          </w:tcPr>
          <w:p>
            <w:r>
              <w:t>UN</w:t>
            </w:r>
          </w:p>
        </w:tc>
        <w:tc>
          <w:tcPr>
            <w:tcW w:type="dxa" w:w="1368"/>
          </w:tcPr>
          <w:p>
            <w:r>
              <w:t xml:space="preserve">R$: </w:t>
            </w:r>
          </w:p>
        </w:tc>
        <w:tc>
          <w:tcPr>
            <w:tcW w:type="dxa" w:w="1368"/>
          </w:tcPr>
          <w:p>
            <w:r>
              <w:t xml:space="preserve">R$: </w:t>
            </w:r>
          </w:p>
        </w:tc>
      </w:tr>
      <w:tr>
        <w:tc>
          <w:tcPr>
            <w:tcW w:type="dxa" w:w="504"/>
          </w:tcPr>
          <w:p>
            <w:r>
              <w:t>2</w:t>
            </w:r>
          </w:p>
        </w:tc>
        <w:tc>
          <w:tcPr>
            <w:tcW w:type="dxa" w:w="4320"/>
          </w:tcPr>
          <w:p>
            <w:r>
              <w:rPr>
                <w:b/>
              </w:rPr>
              <w:t>Recarga de Extintor PQS, BC 8kg</w:t>
            </w:r>
            <w:r>
              <w:rPr>
                <w:sz w:val="18"/>
              </w:rPr>
              <w:br/>
              <w:t>Recarga de Extintor Tipo PQS (Pó Químico Seco), Capacidade 8 kg</w:t>
              <w:br/>
              <w:br/>
              <w:br/>
              <w:br/>
              <w:t>Descrição Técnica e Funcional:</w:t>
              <w:br/>
              <w:br/>
              <w:br/>
              <w:br/>
              <w:t>1. Tipo e Capacida­de: Recarga de extintores de incêndio com pó químico seco (PQS), do tipo portátil, com capacidade nominal para 8 kg de agente extintor.</w:t>
              <w:br/>
              <w:br/>
              <w:br/>
              <w:br/>
              <w:t>2. Composição do Agente Extintor: Utilização de pó químico seco compatível com as normas técnicas vigentes, garantindo eficácia na extinção de incêndios das classes B ( líquidos inflamáveis) e C (equipamentos e instalações elétricas energizadas).</w:t>
              <w:br/>
              <w:br/>
              <w:br/>
              <w:br/>
              <w:t>3. Procedimento de Recarga: Completa substituição do conteúdo extintor, incluindo acondicionamento do pó químico em quantia adequada, inspeção e troca das vedações internas e enchimento conforme especificações técnicas, para assegurar a funcionalidade e a segurança operacional do equipamento.</w:t>
              <w:br/>
              <w:br/>
              <w:br/>
              <w:br/>
              <w:t>4. Controle de Qualidade: Garantia de composição e peso conforme a especificação, revelando conformidade com os parâmetros técnicos e regulatórias aplicáveis; certificado de recarga emitido para cada unidade fornecida.</w:t>
              <w:br/>
              <w:br/>
              <w:br/>
              <w:br/>
              <w:t>5. Preservação do Equipamento: Manuseio e recarga mediante equipamentos calibrados e profissionais habilitados, respeitando normas de segurança contra deteriorações e danos ao extintor.</w:t>
              <w:br/>
              <w:br/>
              <w:br/>
              <w:br/>
              <w:t>Esta contratação visa prover a revitalização adequada de extintores PQS de 8 kg, indispensáveis para a proteção contra incêndios em ambientes administrativos, industrial e comercial.</w:t>
            </w:r>
          </w:p>
        </w:tc>
        <w:tc>
          <w:tcPr>
            <w:tcW w:type="dxa" w:w="792"/>
          </w:tcPr>
          <w:p>
            <w:r>
              <w:t>2.00</w:t>
            </w:r>
          </w:p>
        </w:tc>
        <w:tc>
          <w:tcPr>
            <w:tcW w:type="dxa" w:w="936"/>
          </w:tcPr>
          <w:p>
            <w:r>
              <w:t>UN</w:t>
            </w:r>
          </w:p>
        </w:tc>
        <w:tc>
          <w:tcPr>
            <w:tcW w:type="dxa" w:w="1368"/>
          </w:tcPr>
          <w:p>
            <w:r>
              <w:t xml:space="preserve">R$: </w:t>
            </w:r>
          </w:p>
        </w:tc>
        <w:tc>
          <w:tcPr>
            <w:tcW w:type="dxa" w:w="1368"/>
          </w:tcPr>
          <w:p>
            <w:r>
              <w:t xml:space="preserve">R$: </w:t>
            </w:r>
          </w:p>
        </w:tc>
      </w:tr>
      <w:tr>
        <w:tc>
          <w:tcPr>
            <w:tcW w:type="dxa" w:w="6552"/>
            <w:gridSpan w:val="4"/>
          </w:tcPr>
          <w:p>
            <w:pPr>
              <w:jc w:val="right"/>
            </w:pPr>
            <w:r>
              <w:rPr>
                <w:b/>
              </w:rPr>
              <w:t>TOTAL GERAL:</w:t>
            </w:r>
          </w:p>
        </w:tc>
        <w:tc>
          <w:tcPr>
            <w:tcW w:type="dxa" w:w="2736"/>
            <w:gridSpan w:val="2"/>
          </w:tcPr>
          <w:p>
            <w:r>
              <w:rPr>
                <w:b/>
              </w:rPr>
              <w:t xml:space="preserve">R$: </w:t>
            </w:r>
          </w:p>
        </w:tc>
      </w:tr>
    </w:tbl>
    <w:p>
      <w:pPr>
        <w:jc w:val="both"/>
      </w:pPr>
      <w:r>
        <w:br/>
        <w:t>O prazo de validade desta proposta comercial é de 60 dias, contados da data de seu cadastro ou envio.</w:t>
      </w:r>
    </w:p>
    <w:p>
      <w:pPr>
        <w:jc w:val="both"/>
      </w:pPr>
      <w:r>
        <w:t xml:space="preserve">Os preços contidos nesta proposta incluem todos os custos diretos e indiretos para a entrega dos objetos desta contratação, inclusive as despesas com transportes, materiais, mão-de-obra especializada ou não, seguros em geral, equipamentos, ferramentas, encargos da legislação social, trabalhista e previdenciária, quaisquer danos causados a terceiros ou dispêndios resultantes de taxas, regulamentos e impostos Municipais, Estaduais e Federais, tributos incidentes, taxa de administração, material, serviços, seguros, frete, embalagens, lucro, honorários profissionais, despesas de hospedagem, alimentação e deslocamento dos profissionais e outros necessários ao cumprimento integral do objeto desta contratação, não sendo permitida a cobrança de qualquer valor adicional ou reembolso de despesas que não estejam expressamente previstos nesta proposta comercial. </w:t>
      </w:r>
    </w:p>
    <w:p>
      <w:r>
        <w:br/>
        <w:br/>
      </w:r>
    </w:p>
    <w:p>
      <w:pPr>
        <w:jc w:val="center"/>
      </w:pPr>
      <w:r>
        <w:t>__________________________________________</w:t>
        <w:br/>
      </w:r>
      <w:r>
        <w:rPr>
          <w:b/>
        </w:rPr>
        <w:t>Assinatura Representante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