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FDD9">
      <w:pPr>
        <w:jc w:val="center"/>
      </w:pPr>
      <w:bookmarkStart w:id="0" w:name="_GoBack"/>
      <w:bookmarkEnd w:id="0"/>
      <w:r>
        <w:rPr>
          <w:b/>
          <w:sz w:val="26"/>
          <w:u w:val="single"/>
        </w:rPr>
        <w:t>MODELO DE PROPOSTA COMERCIAL</w:t>
      </w:r>
    </w:p>
    <w:p w14:paraId="2C8F15C2"/>
    <w:p w14:paraId="09707B8D">
      <w:r>
        <w:t>À</w:t>
      </w:r>
    </w:p>
    <w:p w14:paraId="596DEBCB">
      <w:r>
        <w:t xml:space="preserve">Câmara Municipal de Figueiróplis d'Oeste </w:t>
      </w:r>
    </w:p>
    <w:p w14:paraId="0F58ACCD">
      <w:r>
        <w:t>Att: Setor de Licitações</w:t>
      </w:r>
    </w:p>
    <w:p w14:paraId="0C27C572"/>
    <w:p w14:paraId="5A373602">
      <w:r>
        <w:rPr>
          <w:b w:val="0"/>
        </w:rPr>
        <w:t xml:space="preserve">Dispensa: </w:t>
      </w:r>
      <w:r>
        <w:rPr>
          <w:b/>
        </w:rPr>
        <w:t>0003/2026</w:t>
      </w:r>
    </w:p>
    <w:p w14:paraId="40ABCB93">
      <w:r>
        <w:rPr>
          <w:b/>
        </w:rPr>
        <w:t xml:space="preserve">Assunto: </w:t>
      </w:r>
      <w:r>
        <w:t>Aquisição de tablets e televisores destinados à implementação de sistema eletrônico de votação e exibição de resultados.</w:t>
      </w:r>
      <w:r>
        <w:br w:type="textWrapping"/>
      </w:r>
    </w:p>
    <w:p w14:paraId="46318AB7">
      <w:r>
        <w:rPr>
          <w:b/>
        </w:rPr>
        <w:t>CNPJ :</w:t>
      </w:r>
      <w:r>
        <w:t xml:space="preserve"> </w:t>
      </w:r>
    </w:p>
    <w:p w14:paraId="3D10E85E">
      <w:r>
        <w:rPr>
          <w:b/>
        </w:rPr>
        <w:t>Razão Social :</w:t>
      </w:r>
      <w:r>
        <w:t xml:space="preserve"> </w:t>
      </w:r>
    </w:p>
    <w:p w14:paraId="7CA1A938">
      <w:r>
        <w:rPr>
          <w:b/>
        </w:rPr>
        <w:t>Nome Fantasia :</w:t>
      </w:r>
      <w:r>
        <w:t xml:space="preserve"> </w:t>
      </w:r>
    </w:p>
    <w:p w14:paraId="0E89A212">
      <w:r>
        <w:rPr>
          <w:b/>
        </w:rPr>
        <w:t>Endereço :</w:t>
      </w:r>
      <w:r>
        <w:t xml:space="preserve"> </w:t>
      </w:r>
    </w:p>
    <w:p w14:paraId="32857600">
      <w:r>
        <w:rPr>
          <w:b/>
        </w:rPr>
        <w:t>Telefone :</w:t>
      </w:r>
      <w:r>
        <w:t xml:space="preserve"> </w:t>
      </w:r>
    </w:p>
    <w:p w14:paraId="157298DE">
      <w:r>
        <w:rPr>
          <w:b/>
        </w:rPr>
        <w:t>E-mail :</w:t>
      </w:r>
      <w:r>
        <w:t xml:space="preserve"> 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3946"/>
        <w:gridCol w:w="750"/>
        <w:gridCol w:w="1116"/>
        <w:gridCol w:w="1394"/>
        <w:gridCol w:w="1359"/>
      </w:tblGrid>
      <w:tr w14:paraId="5AD2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3D0C36E8">
            <w:pPr>
              <w:spacing w:after="0" w:line="240" w:lineRule="auto"/>
            </w:pPr>
            <w:r>
              <w:rPr>
                <w:b/>
              </w:rPr>
              <w:t>Nº</w:t>
            </w:r>
          </w:p>
        </w:tc>
        <w:tc>
          <w:tcPr>
            <w:tcW w:w="3946" w:type="dxa"/>
          </w:tcPr>
          <w:p w14:paraId="0FC4821B">
            <w:pPr>
              <w:spacing w:after="0" w:line="240" w:lineRule="auto"/>
            </w:pPr>
            <w:r>
              <w:rPr>
                <w:b/>
              </w:rPr>
              <w:t>Descrição do Item</w:t>
            </w:r>
          </w:p>
        </w:tc>
        <w:tc>
          <w:tcPr>
            <w:tcW w:w="750" w:type="dxa"/>
          </w:tcPr>
          <w:p w14:paraId="7C728097">
            <w:pPr>
              <w:spacing w:after="0" w:line="240" w:lineRule="auto"/>
            </w:pPr>
            <w:r>
              <w:rPr>
                <w:b/>
              </w:rPr>
              <w:t>Qtd/Un</w:t>
            </w:r>
          </w:p>
        </w:tc>
        <w:tc>
          <w:tcPr>
            <w:tcW w:w="1116" w:type="dxa"/>
          </w:tcPr>
          <w:p w14:paraId="388F2296">
            <w:pPr>
              <w:spacing w:after="0" w:line="240" w:lineRule="auto"/>
            </w:pPr>
            <w:r>
              <w:rPr>
                <w:b/>
              </w:rPr>
              <w:t>Marca/Modelo</w:t>
            </w:r>
          </w:p>
        </w:tc>
        <w:tc>
          <w:tcPr>
            <w:tcW w:w="1394" w:type="dxa"/>
          </w:tcPr>
          <w:p w14:paraId="612E0886">
            <w:pPr>
              <w:spacing w:after="0" w:line="240" w:lineRule="auto"/>
            </w:pPr>
            <w:r>
              <w:rPr>
                <w:b/>
              </w:rPr>
              <w:t>Valor Unitário</w:t>
            </w:r>
          </w:p>
        </w:tc>
        <w:tc>
          <w:tcPr>
            <w:tcW w:w="1359" w:type="dxa"/>
          </w:tcPr>
          <w:p w14:paraId="5498177D">
            <w:pPr>
              <w:spacing w:after="0" w:line="240" w:lineRule="auto"/>
            </w:pPr>
            <w:r>
              <w:rPr>
                <w:b/>
              </w:rPr>
              <w:t>Valor Total</w:t>
            </w:r>
          </w:p>
        </w:tc>
      </w:tr>
      <w:tr w14:paraId="7D4F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1D8CE21C">
            <w:pPr>
              <w:spacing w:after="0" w:line="240" w:lineRule="auto"/>
            </w:pPr>
            <w:r>
              <w:t>1</w:t>
            </w:r>
          </w:p>
        </w:tc>
        <w:tc>
          <w:tcPr>
            <w:tcW w:w="3946" w:type="dxa"/>
          </w:tcPr>
          <w:p w14:paraId="43D13FD2">
            <w:pPr>
              <w:spacing w:after="0" w:line="240" w:lineRule="auto"/>
            </w:pPr>
            <w:r>
              <w:rPr>
                <w:b/>
              </w:rPr>
              <w:t>Tablet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Tablet com tela ampla de aproximadamente 11 polegadas, projetado para atender demandas de produtividade,  desempenho eficiente, portabilidade e experiência de uso fluida.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1. Tela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Tamanho: aproximadamente 11 polegadas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Dimensões aproximadas: 25,4 cm (altura) x 16,6 cm (largura)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Tecnologia: display de alta qualidade (mínimo IPS ou superior)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Resolução: mínima compatível com padrão Full HD ou superior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Formato: widescreen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2. Desempenho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Processador: Octa-Core (8 núcleos) ou superior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Arquitetura: compatível com execução simultânea de múltiplas tarefas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Memória RAM: mínimo de 8 GB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3. Armazenamento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Armazenamento interno: mínimo de 256 GB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Suporte à expansão de memória: via cartão MicroSD de até 2 TB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4. Câmeras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Câmera traseira: integrada, com qualidade adequada para registros e digitalização de documentos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Câmera frontal: integrada, adequada para videoconferências e ensino remoto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5. Conectividade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Interface: porta USB Tipo-C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Conectividade sem fio: compatível com redes Wi-Fi 2.4 GHz e 5 GHz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Suporte a padrões atuais de conectividade sem fio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6. Bateria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Capacidade mínima: 9.000 mAh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Autonomia: compatível com uso contínuo prolongado (mínimo de 8 horas, conforme aplicação)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7. Características Gerais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Equipamento portátil, leve e de fácil manuseio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Sistema operacional compatível com aplicativos educacionais e corporativos atuais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Interface intuitiva e responsiva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Construção robusta para uso contínuo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8. Acessórios e Compatibilidade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Cabo para carregamento e transferência de dados (USB-C)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Carregador compatível com o equipamento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Compatibilidade com periféricos e acessórios padrão de mercado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Marca:  Xaiomi Redmi Pad 2 ou superior / similar de igual qualidade</w:t>
            </w:r>
          </w:p>
        </w:tc>
        <w:tc>
          <w:tcPr>
            <w:tcW w:w="750" w:type="dxa"/>
          </w:tcPr>
          <w:p w14:paraId="19CB0415">
            <w:pPr>
              <w:spacing w:after="0" w:line="240" w:lineRule="auto"/>
            </w:pPr>
            <w:r>
              <w:t>11  UN</w:t>
            </w:r>
          </w:p>
        </w:tc>
        <w:tc>
          <w:tcPr>
            <w:tcW w:w="1116" w:type="dxa"/>
          </w:tcPr>
          <w:p w14:paraId="343AFF9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94" w:type="dxa"/>
          </w:tcPr>
          <w:p w14:paraId="22DDC22B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59" w:type="dxa"/>
          </w:tcPr>
          <w:p w14:paraId="62142F9E">
            <w:pPr>
              <w:spacing w:after="0" w:line="240" w:lineRule="auto"/>
            </w:pPr>
            <w:r>
              <w:t xml:space="preserve">R$: </w:t>
            </w:r>
          </w:p>
        </w:tc>
      </w:tr>
      <w:tr w14:paraId="5747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0E6D84A9">
            <w:pPr>
              <w:spacing w:after="0" w:line="240" w:lineRule="auto"/>
            </w:pPr>
            <w:r>
              <w:t>2</w:t>
            </w:r>
          </w:p>
        </w:tc>
        <w:tc>
          <w:tcPr>
            <w:tcW w:w="3946" w:type="dxa"/>
          </w:tcPr>
          <w:p w14:paraId="6F982B7F">
            <w:pPr>
              <w:spacing w:after="0" w:line="240" w:lineRule="auto"/>
            </w:pPr>
            <w:r>
              <w:rPr>
                <w:b/>
              </w:rPr>
              <w:t>Kit Proteção Tablet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Kit de proteção composto por película de vidro temperado e case em silicone  antishock, compatível com o Tablet adquirido. A película oferece proteção avançada contra riscos e impactos na tela, mantendo a sensibilidade ao toque e a nitidez da imagem. A case, fabricada em silicone flexível com tecnologia antishock nas bordas, garante absorção de impactos, proteção contra quedas e excelente durabilidade, com recortes precisos para botões, câmera e conexões.</w:t>
            </w:r>
          </w:p>
        </w:tc>
        <w:tc>
          <w:tcPr>
            <w:tcW w:w="750" w:type="dxa"/>
          </w:tcPr>
          <w:p w14:paraId="7BD8E7BE">
            <w:pPr>
              <w:spacing w:after="0" w:line="240" w:lineRule="auto"/>
            </w:pPr>
            <w:r>
              <w:t>11  UN</w:t>
            </w:r>
          </w:p>
        </w:tc>
        <w:tc>
          <w:tcPr>
            <w:tcW w:w="1116" w:type="dxa"/>
          </w:tcPr>
          <w:p w14:paraId="3E2263E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94" w:type="dxa"/>
          </w:tcPr>
          <w:p w14:paraId="7289E830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59" w:type="dxa"/>
          </w:tcPr>
          <w:p w14:paraId="763C0CC5">
            <w:pPr>
              <w:spacing w:after="0" w:line="240" w:lineRule="auto"/>
            </w:pPr>
            <w:r>
              <w:t xml:space="preserve">R$: </w:t>
            </w:r>
          </w:p>
        </w:tc>
      </w:tr>
      <w:tr w14:paraId="5E41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12D47822">
            <w:pPr>
              <w:spacing w:after="0" w:line="240" w:lineRule="auto"/>
            </w:pPr>
            <w:r>
              <w:t>3</w:t>
            </w:r>
          </w:p>
        </w:tc>
        <w:tc>
          <w:tcPr>
            <w:tcW w:w="3946" w:type="dxa"/>
          </w:tcPr>
          <w:p w14:paraId="32AB1535">
            <w:pPr>
              <w:spacing w:after="0" w:line="240" w:lineRule="auto"/>
            </w:pPr>
            <w:r>
              <w:rPr>
                <w:b/>
              </w:rPr>
              <w:t>Suporte Tablet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Suporte multifuncional ajustável, com base em alumínio na cor cinza, compatível com tablets de até 12.9 polegadas. O modelo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deve possuir estrutura dobrável e design ergonômico, com sistema de rotação de 360°.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Marca:  Ugreen ou superior / similar de igual qualidade</w:t>
            </w:r>
          </w:p>
        </w:tc>
        <w:tc>
          <w:tcPr>
            <w:tcW w:w="750" w:type="dxa"/>
          </w:tcPr>
          <w:p w14:paraId="0B396636">
            <w:pPr>
              <w:spacing w:after="0" w:line="240" w:lineRule="auto"/>
            </w:pPr>
            <w:r>
              <w:t>11  UN</w:t>
            </w:r>
          </w:p>
        </w:tc>
        <w:tc>
          <w:tcPr>
            <w:tcW w:w="1116" w:type="dxa"/>
          </w:tcPr>
          <w:p w14:paraId="4014CBD9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94" w:type="dxa"/>
          </w:tcPr>
          <w:p w14:paraId="51B9698C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59" w:type="dxa"/>
          </w:tcPr>
          <w:p w14:paraId="5E1CAD86">
            <w:pPr>
              <w:spacing w:after="0" w:line="240" w:lineRule="auto"/>
            </w:pPr>
            <w:r>
              <w:t xml:space="preserve">R$: </w:t>
            </w:r>
          </w:p>
        </w:tc>
      </w:tr>
      <w:tr w14:paraId="5923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5DFFA51F">
            <w:pPr>
              <w:spacing w:after="0" w:line="240" w:lineRule="auto"/>
            </w:pPr>
            <w:r>
              <w:t>4</w:t>
            </w:r>
          </w:p>
        </w:tc>
        <w:tc>
          <w:tcPr>
            <w:tcW w:w="3946" w:type="dxa"/>
          </w:tcPr>
          <w:p w14:paraId="4EB9B245">
            <w:pPr>
              <w:spacing w:after="0" w:line="240" w:lineRule="auto"/>
            </w:pPr>
            <w:r>
              <w:rPr>
                <w:b/>
              </w:rPr>
              <w:t>Smart TV 75 polegadas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Smart TV 75 polegadas, destinada a proporcionar excelência em qualidade de imagem, desempenho e versatilidade para ambientes residenciais ou institucionais.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1. Tela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Tamanho: 75 polegadas, assegurando ampla área de visualização.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Tecnologia: painel de alta definição com tecnologia LED ou superior.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Resolução: padrão mínimo 4K UHD (3840 x 2160 pixels), garantindo nitidez e riqueza de detalhes.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- Formato: widescreen 16:9, adequado para conteúdos audiovisuais modernos.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2. Desempenho e sistema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Processamento: hardware otimizado para reprodução fluida de conteúdo multimídia em alta resolução.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Sistema operacional integrado: compatível com as principais plataformas de streaming e aplicativos interativos.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Recursos adicionais: suporte a funções inteligentes e conectividade online para amplo controle e usabilidade.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3. Áudio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- Sistema de som integrado de alta fidelidade, capaz de reproduzir áudio claro e equilibrado em ambientes diversos.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4. Conectividade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Entradas e saídas: múltiplas portas HDMI, USB e interfaces para conexões com dispositivos externos.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- Opções wireless: compatibilidade com Wi-Fi e Bluetooth para transferência de dados e interação simplificada com outros dispositivos.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5. Outros recursos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Controles e compatibilidade: controle remoto com comandos múltiplos e suporte a controle via dispositivos móveis.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- Design e montagem: chassi compacto e facilidade de fixação em parede ou suportes específicos, otimizando a instalação conforme o ambiente.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Marca:  Samsung Smart TV 75" Crystal UHD 4K 75CU8000 ou superior / similar de igual qualidade</w:t>
            </w:r>
          </w:p>
        </w:tc>
        <w:tc>
          <w:tcPr>
            <w:tcW w:w="750" w:type="dxa"/>
          </w:tcPr>
          <w:p w14:paraId="4FB4A9C5">
            <w:pPr>
              <w:spacing w:after="0" w:line="240" w:lineRule="auto"/>
            </w:pPr>
            <w:r>
              <w:t>1  UN</w:t>
            </w:r>
          </w:p>
        </w:tc>
        <w:tc>
          <w:tcPr>
            <w:tcW w:w="1116" w:type="dxa"/>
          </w:tcPr>
          <w:p w14:paraId="2AD2D9A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94" w:type="dxa"/>
          </w:tcPr>
          <w:p w14:paraId="13C88E5A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59" w:type="dxa"/>
          </w:tcPr>
          <w:p w14:paraId="3E2C40F5">
            <w:pPr>
              <w:spacing w:after="0" w:line="240" w:lineRule="auto"/>
            </w:pPr>
            <w:r>
              <w:t xml:space="preserve">R$: </w:t>
            </w:r>
          </w:p>
        </w:tc>
      </w:tr>
      <w:tr w14:paraId="4352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6F1A43FA">
            <w:pPr>
              <w:spacing w:after="0" w:line="240" w:lineRule="auto"/>
            </w:pPr>
            <w:r>
              <w:t>5</w:t>
            </w:r>
          </w:p>
        </w:tc>
        <w:tc>
          <w:tcPr>
            <w:tcW w:w="3946" w:type="dxa"/>
          </w:tcPr>
          <w:p w14:paraId="3178DD33">
            <w:pPr>
              <w:spacing w:after="0" w:line="240" w:lineRule="auto"/>
            </w:pPr>
            <w:r>
              <w:rPr>
                <w:b/>
              </w:rPr>
              <w:t>Smart TV 43 polegadas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Smart TV 43 polegadas, destinada a proporcionar experiência visual de alta qualidade em ambientes residenciais e corporativos, adequada para apresentação de conteúdos multimídia, transmissão digital e conectividade eficiente.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1. Tela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Tamanho: 43 polegadas (aproximadamente 109 cm diagonal)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Tecnologia: painel com desempenho superior, preferencialmente LED ou OLED, garantindo brilho, contraste e fidelidade de cores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Resolução: mínimo Full HD (1920 x 1080 pixels), com opção para 4K UHD para melhor definição de imagem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Formato: widescreen 16:9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2. Recursos de Vídeo e Áudio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Compatibilidade com múltiplos formatos de vídeo e áudio digitais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Alto-falantes integrados com potência apropriada para reprodução clara e nítida de som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Suporte a recursos como HDR para aprimoramento do contraste e nitidez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3. Interface e Conectividade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Portas HDMI e USB para integração com dispositivos externos e armazenamento externo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Conectividade wireless; Wi-Fi integrado para acesso a plataformas de streaming e internet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Bluetooth para conexão com dispositivos acessórios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4. Sistemas Inteligentes e Controle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Sistema Smart TV equipado com plataforma que permite download e uso de aplicações multimídia e streaming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Controle remoto incluso com funcionalidades para navegação intuitiva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Compatibilidade com assistentes virtuais e comandos de voz, facultativo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5. Design e Eficiência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Estrutura adequada para fixação em parede e posicionamento horizontal em suporte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Construção compacta e acabamento formal, com garantia e certificações técnicas pertinentes ao setor eletrônico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Este conjunto de características atende às especificações técnicas exigidas para a contratação, garantindo equipamento moderno, funcional e alinhado às necessidades institucionais.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Marca:  Samsung Smart TV 43" Crystal Modelo: UHD 4K U8100F 2025 ou superior / similar de igual qualidade</w:t>
            </w:r>
          </w:p>
        </w:tc>
        <w:tc>
          <w:tcPr>
            <w:tcW w:w="750" w:type="dxa"/>
          </w:tcPr>
          <w:p w14:paraId="0CD11623">
            <w:pPr>
              <w:spacing w:after="0" w:line="240" w:lineRule="auto"/>
            </w:pPr>
            <w:r>
              <w:t>1  UN</w:t>
            </w:r>
          </w:p>
        </w:tc>
        <w:tc>
          <w:tcPr>
            <w:tcW w:w="1116" w:type="dxa"/>
          </w:tcPr>
          <w:p w14:paraId="206432D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94" w:type="dxa"/>
          </w:tcPr>
          <w:p w14:paraId="29031F89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59" w:type="dxa"/>
          </w:tcPr>
          <w:p w14:paraId="2E549573">
            <w:pPr>
              <w:spacing w:after="0" w:line="240" w:lineRule="auto"/>
            </w:pPr>
            <w:r>
              <w:t xml:space="preserve">R$: </w:t>
            </w:r>
          </w:p>
        </w:tc>
      </w:tr>
      <w:tr w14:paraId="7C08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dxa"/>
          </w:tcPr>
          <w:p w14:paraId="470ABB19">
            <w:pPr>
              <w:spacing w:after="0" w:line="240" w:lineRule="auto"/>
            </w:pPr>
            <w:r>
              <w:t>6</w:t>
            </w:r>
          </w:p>
        </w:tc>
        <w:tc>
          <w:tcPr>
            <w:tcW w:w="3946" w:type="dxa"/>
          </w:tcPr>
          <w:p w14:paraId="63CB1F01">
            <w:pPr>
              <w:spacing w:after="0" w:line="240" w:lineRule="auto"/>
            </w:pPr>
            <w:r>
              <w:rPr>
                <w:b/>
              </w:rPr>
              <w:t>Case Para Monitor De Palco TV 43 Polegadas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Case para monitor de palco compatível com televisores de até 43 polegadas, projetado para garantir proteção e facilidade de transporte dos equipamentos audiovisuais utilizados em ambientes de apresentação.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1. Dimensões e Compatibilidade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Suporta monitores de até 43 polegadas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Altura interna aproximada: 44 cm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Altura externa aproximada: 47 cm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Largura externa aproximada: 67 cm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2. Estrutura e Materiais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Construção robusta destinada à proteção contra impactos durante o transporte e manuseio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Cor predominante: preta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3. Recursos Adicionais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- Equipado com alça para fácil transporte  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- Compartimento exclusivo para notebook: não disponível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Marca:  Universal Cases ou superior / similar de igual qualidade</w:t>
            </w:r>
          </w:p>
        </w:tc>
        <w:tc>
          <w:tcPr>
            <w:tcW w:w="750" w:type="dxa"/>
          </w:tcPr>
          <w:p w14:paraId="3EE7142D">
            <w:pPr>
              <w:spacing w:after="0" w:line="240" w:lineRule="auto"/>
            </w:pPr>
            <w:r>
              <w:t>1  UN</w:t>
            </w:r>
          </w:p>
        </w:tc>
        <w:tc>
          <w:tcPr>
            <w:tcW w:w="1116" w:type="dxa"/>
          </w:tcPr>
          <w:p w14:paraId="68517B4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394" w:type="dxa"/>
          </w:tcPr>
          <w:p w14:paraId="68D130CE">
            <w:pPr>
              <w:spacing w:after="0" w:line="240" w:lineRule="auto"/>
            </w:pPr>
            <w:r>
              <w:t xml:space="preserve">R$: </w:t>
            </w:r>
          </w:p>
        </w:tc>
        <w:tc>
          <w:tcPr>
            <w:tcW w:w="1359" w:type="dxa"/>
          </w:tcPr>
          <w:p w14:paraId="250C777C">
            <w:pPr>
              <w:spacing w:after="0" w:line="240" w:lineRule="auto"/>
            </w:pPr>
            <w:r>
              <w:t xml:space="preserve">R$: </w:t>
            </w:r>
          </w:p>
        </w:tc>
      </w:tr>
      <w:tr w14:paraId="684A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3" w:type="dxa"/>
            <w:gridSpan w:val="4"/>
          </w:tcPr>
          <w:p w14:paraId="4743F56A">
            <w:pPr>
              <w:spacing w:after="0" w:line="240" w:lineRule="auto"/>
              <w:jc w:val="right"/>
            </w:pPr>
            <w:r>
              <w:rPr>
                <w:b/>
              </w:rPr>
              <w:t>TOTAL GERAL:</w:t>
            </w:r>
          </w:p>
        </w:tc>
        <w:tc>
          <w:tcPr>
            <w:tcW w:w="2753" w:type="dxa"/>
            <w:gridSpan w:val="2"/>
          </w:tcPr>
          <w:p w14:paraId="63CE8707">
            <w:pPr>
              <w:spacing w:after="0" w:line="240" w:lineRule="auto"/>
            </w:pPr>
          </w:p>
        </w:tc>
      </w:tr>
    </w:tbl>
    <w:p w14:paraId="5521AE56">
      <w:pPr>
        <w:jc w:val="both"/>
      </w:pPr>
      <w:r>
        <w:br w:type="textWrapping"/>
      </w:r>
      <w:r>
        <w:t>O prazo de validade desta proposta comercial é de 60 dias, contados da data de seu cadastro ou envio.</w:t>
      </w:r>
    </w:p>
    <w:p w14:paraId="5D9E13E1">
      <w:pPr>
        <w:jc w:val="both"/>
      </w:pPr>
      <w:r>
        <w:t xml:space="preserve">Os preços contidos nesta proposta incluem todos os custos diretos e indiretos para a entrega dos objetos desta contratação, inclusive as despesas com transportes, materiais, mão-de-obra especializada ou não, seguros em geral, equipamentos, ferramentas, encargos da legislação social, trabalhista e previdenciária, quaisquer danos causados a terceiros ou dispêndios resultantes de taxas, regulamentos e impostos Municipais, Estaduais e Federais, tributos incidentes, taxa de administração, material, serviços, seguros, frete, embalagens, lucro, honorários profissionais, despesas de hospedagem, alimentação e deslocamento dos profissionais e outros necessários ao cumprimento integral do objeto desta contratação, não sendo permitida a cobrança de qualquer valor adicional ou reembolso de despesas que não estejam expressamente previstos nesta proposta comercial. </w:t>
      </w:r>
    </w:p>
    <w:p w14:paraId="491CD364">
      <w:r>
        <w:br w:type="textWrapping"/>
      </w:r>
      <w:r>
        <w:br w:type="textWrapping"/>
      </w:r>
    </w:p>
    <w:p w14:paraId="33E429A2">
      <w:pPr>
        <w:jc w:val="center"/>
      </w:pPr>
      <w:r>
        <w:t>__________________________________________</w:t>
      </w:r>
      <w:r>
        <w:br w:type="textWrapping"/>
      </w:r>
      <w:r>
        <w:rPr>
          <w:b/>
        </w:rPr>
        <w:t>Assinatura Representante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A19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qFormat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5"/>
    <w:qFormat/>
    <w:uiPriority w:val="99"/>
  </w:style>
  <w:style w:type="character" w:customStyle="1" w:styleId="38">
    <w:name w:val="Footer Char"/>
    <w:basedOn w:val="11"/>
    <w:link w:val="27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16"/>
    <w:qFormat/>
    <w:uiPriority w:val="99"/>
  </w:style>
  <w:style w:type="character" w:customStyle="1" w:styleId="47">
    <w:name w:val="Body Text 2 Char"/>
    <w:basedOn w:val="11"/>
    <w:link w:val="24"/>
    <w:qFormat/>
    <w:uiPriority w:val="99"/>
  </w:style>
  <w:style w:type="character" w:customStyle="1" w:styleId="48">
    <w:name w:val="Body Text 3 Char"/>
    <w:basedOn w:val="11"/>
    <w:link w:val="22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0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1181</Words>
  <Characters>6988</Characters>
  <Lines>0</Lines>
  <Paragraphs>0</Paragraphs>
  <TotalTime>0</TotalTime>
  <ScaleCrop>false</ScaleCrop>
  <LinksUpToDate>false</LinksUpToDate>
  <CharactersWithSpaces>8148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ASSESSORIA TECNICA</cp:lastModifiedBy>
  <dcterms:modified xsi:type="dcterms:W3CDTF">2026-04-27T16:50:46Z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eyJoZGlkIjoiNDAzZjc0ODg3ZjgyYzc5ODExYTg0MzFmNGI3YWYwZmMiLCJ1c2VySWQiOiIxMjM2OTUxMjI2MDA0In0=</vt:lpwstr>
  </property>
  <property fmtid="{D5CDD505-2E9C-101B-9397-08002B2CF9AE}" pid="3" name="KSOProductBuildVer">
    <vt:lpwstr>1046-12.1.0.25242</vt:lpwstr>
  </property>
  <property fmtid="{D5CDD505-2E9C-101B-9397-08002B2CF9AE}" pid="4" name="ICV">
    <vt:lpwstr>F1E4B40DD52747BBA821D1B071C9DF0C_12</vt:lpwstr>
  </property>
</Properties>
</file>