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F0F" w:rsidRPr="00D918FA" w:rsidRDefault="00216F0F" w:rsidP="00D918F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96BD1" w:rsidRPr="00D918FA" w:rsidRDefault="00D96BD1" w:rsidP="00BF77D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918FA">
        <w:rPr>
          <w:rFonts w:ascii="Times New Roman" w:hAnsi="Times New Roman"/>
          <w:b/>
          <w:sz w:val="24"/>
          <w:szCs w:val="24"/>
        </w:rPr>
        <w:t xml:space="preserve">LEI </w:t>
      </w:r>
      <w:r w:rsidR="00E3739D" w:rsidRPr="00D918FA">
        <w:rPr>
          <w:rFonts w:ascii="Times New Roman" w:hAnsi="Times New Roman"/>
          <w:b/>
          <w:sz w:val="24"/>
          <w:szCs w:val="24"/>
        </w:rPr>
        <w:t>COMPLEMENTAR</w:t>
      </w:r>
      <w:r w:rsidR="00907FE8" w:rsidRPr="00D918FA">
        <w:rPr>
          <w:rFonts w:ascii="Times New Roman" w:hAnsi="Times New Roman"/>
          <w:b/>
          <w:sz w:val="24"/>
          <w:szCs w:val="24"/>
        </w:rPr>
        <w:t xml:space="preserve"> Nº </w:t>
      </w:r>
      <w:r w:rsidR="00907FE8" w:rsidRPr="00D918FA">
        <w:rPr>
          <w:rFonts w:ascii="Times New Roman" w:hAnsi="Times New Roman"/>
          <w:b/>
          <w:sz w:val="24"/>
          <w:szCs w:val="24"/>
        </w:rPr>
        <w:softHyphen/>
      </w:r>
      <w:r w:rsidR="00907FE8" w:rsidRPr="00D918FA">
        <w:rPr>
          <w:rFonts w:ascii="Times New Roman" w:hAnsi="Times New Roman"/>
          <w:b/>
          <w:sz w:val="24"/>
          <w:szCs w:val="24"/>
        </w:rPr>
        <w:softHyphen/>
      </w:r>
      <w:r w:rsidR="00907FE8" w:rsidRPr="00D918FA">
        <w:rPr>
          <w:rFonts w:ascii="Times New Roman" w:hAnsi="Times New Roman"/>
          <w:b/>
          <w:sz w:val="24"/>
          <w:szCs w:val="24"/>
        </w:rPr>
        <w:softHyphen/>
      </w:r>
      <w:r w:rsidR="00907FE8" w:rsidRPr="00D918FA">
        <w:rPr>
          <w:rFonts w:ascii="Times New Roman" w:hAnsi="Times New Roman"/>
          <w:b/>
          <w:sz w:val="24"/>
          <w:szCs w:val="24"/>
        </w:rPr>
        <w:softHyphen/>
      </w:r>
      <w:r w:rsidR="00907FE8" w:rsidRPr="00D918FA">
        <w:rPr>
          <w:rFonts w:ascii="Times New Roman" w:hAnsi="Times New Roman"/>
          <w:b/>
          <w:sz w:val="24"/>
          <w:szCs w:val="24"/>
        </w:rPr>
        <w:softHyphen/>
      </w:r>
      <w:r w:rsidR="00907FE8" w:rsidRPr="00D918FA">
        <w:rPr>
          <w:rFonts w:ascii="Times New Roman" w:hAnsi="Times New Roman"/>
          <w:b/>
          <w:sz w:val="24"/>
          <w:szCs w:val="24"/>
        </w:rPr>
        <w:softHyphen/>
      </w:r>
      <w:r w:rsidR="00907FE8" w:rsidRPr="00D918FA">
        <w:rPr>
          <w:rFonts w:ascii="Times New Roman" w:hAnsi="Times New Roman"/>
          <w:b/>
          <w:sz w:val="24"/>
          <w:szCs w:val="24"/>
        </w:rPr>
        <w:softHyphen/>
      </w:r>
      <w:r w:rsidR="00907FE8" w:rsidRPr="00D918FA">
        <w:rPr>
          <w:rFonts w:ascii="Times New Roman" w:hAnsi="Times New Roman"/>
          <w:b/>
          <w:sz w:val="24"/>
          <w:szCs w:val="24"/>
        </w:rPr>
        <w:softHyphen/>
      </w:r>
      <w:r w:rsidR="00907FE8" w:rsidRPr="00D918FA">
        <w:rPr>
          <w:rFonts w:ascii="Times New Roman" w:hAnsi="Times New Roman"/>
          <w:b/>
          <w:sz w:val="24"/>
          <w:szCs w:val="24"/>
        </w:rPr>
        <w:softHyphen/>
      </w:r>
      <w:r w:rsidR="00907FE8" w:rsidRPr="00D918FA">
        <w:rPr>
          <w:rFonts w:ascii="Times New Roman" w:hAnsi="Times New Roman"/>
          <w:b/>
          <w:sz w:val="24"/>
          <w:szCs w:val="24"/>
        </w:rPr>
        <w:softHyphen/>
      </w:r>
      <w:r w:rsidR="00BF77D1">
        <w:rPr>
          <w:rFonts w:ascii="Times New Roman" w:hAnsi="Times New Roman"/>
          <w:b/>
          <w:sz w:val="24"/>
          <w:szCs w:val="24"/>
        </w:rPr>
        <w:t>72</w:t>
      </w:r>
      <w:r w:rsidR="00A050BE" w:rsidRPr="00D918FA">
        <w:rPr>
          <w:rFonts w:ascii="Times New Roman" w:hAnsi="Times New Roman"/>
          <w:b/>
          <w:sz w:val="24"/>
          <w:szCs w:val="24"/>
        </w:rPr>
        <w:t xml:space="preserve"> </w:t>
      </w:r>
      <w:r w:rsidR="00907FE8" w:rsidRPr="00D918FA">
        <w:rPr>
          <w:rFonts w:ascii="Times New Roman" w:hAnsi="Times New Roman"/>
          <w:b/>
          <w:sz w:val="24"/>
          <w:szCs w:val="24"/>
        </w:rPr>
        <w:t xml:space="preserve">DE </w:t>
      </w:r>
      <w:r w:rsidR="005C5C44" w:rsidRPr="00D918FA">
        <w:rPr>
          <w:rFonts w:ascii="Times New Roman" w:hAnsi="Times New Roman"/>
          <w:b/>
          <w:sz w:val="24"/>
          <w:szCs w:val="24"/>
        </w:rPr>
        <w:t>0</w:t>
      </w:r>
      <w:r w:rsidR="00BF77D1">
        <w:rPr>
          <w:rFonts w:ascii="Times New Roman" w:hAnsi="Times New Roman"/>
          <w:b/>
          <w:sz w:val="24"/>
          <w:szCs w:val="24"/>
        </w:rPr>
        <w:t>7</w:t>
      </w:r>
      <w:r w:rsidR="00793D16" w:rsidRPr="00D918FA">
        <w:rPr>
          <w:rFonts w:ascii="Times New Roman" w:hAnsi="Times New Roman"/>
          <w:b/>
          <w:sz w:val="24"/>
          <w:szCs w:val="24"/>
        </w:rPr>
        <w:t xml:space="preserve"> DE </w:t>
      </w:r>
      <w:r w:rsidR="005C5C44" w:rsidRPr="00D918FA">
        <w:rPr>
          <w:rFonts w:ascii="Times New Roman" w:hAnsi="Times New Roman"/>
          <w:b/>
          <w:sz w:val="24"/>
          <w:szCs w:val="24"/>
        </w:rPr>
        <w:t>OUTRUBRO</w:t>
      </w:r>
      <w:r w:rsidR="00793D16" w:rsidRPr="00D918FA">
        <w:rPr>
          <w:rFonts w:ascii="Times New Roman" w:hAnsi="Times New Roman"/>
          <w:b/>
          <w:sz w:val="24"/>
          <w:szCs w:val="24"/>
        </w:rPr>
        <w:t xml:space="preserve"> DE 2025</w:t>
      </w:r>
      <w:r w:rsidR="00907FE8" w:rsidRPr="00D918FA">
        <w:rPr>
          <w:rFonts w:ascii="Times New Roman" w:hAnsi="Times New Roman"/>
          <w:b/>
          <w:sz w:val="24"/>
          <w:szCs w:val="24"/>
        </w:rPr>
        <w:t>.</w:t>
      </w:r>
    </w:p>
    <w:p w:rsidR="00D96BD1" w:rsidRPr="00D918FA" w:rsidRDefault="00D96BD1" w:rsidP="00D918F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96BD1" w:rsidRPr="00D918FA" w:rsidRDefault="00D96BD1" w:rsidP="00D918FA">
      <w:pPr>
        <w:pStyle w:val="Corpodetexto"/>
        <w:spacing w:after="0" w:line="240" w:lineRule="auto"/>
        <w:ind w:left="340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6F0F" w:rsidRPr="00D918FA" w:rsidRDefault="00216F0F" w:rsidP="00D918FA">
      <w:pPr>
        <w:autoSpaceDE w:val="0"/>
        <w:autoSpaceDN w:val="0"/>
        <w:adjustRightInd w:val="0"/>
        <w:spacing w:after="0" w:line="240" w:lineRule="auto"/>
        <w:ind w:left="3402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D96BD1" w:rsidRPr="00D918FA" w:rsidRDefault="00D918FA" w:rsidP="00D918FA">
      <w:pPr>
        <w:spacing w:after="0" w:line="240" w:lineRule="auto"/>
        <w:ind w:left="3969"/>
        <w:jc w:val="both"/>
        <w:rPr>
          <w:rFonts w:ascii="Times New Roman" w:hAnsi="Times New Roman"/>
          <w:sz w:val="24"/>
          <w:szCs w:val="24"/>
        </w:rPr>
      </w:pPr>
      <w:r w:rsidRPr="00D918FA">
        <w:rPr>
          <w:rFonts w:ascii="Times New Roman" w:hAnsi="Times New Roman"/>
          <w:b/>
          <w:color w:val="000000"/>
          <w:sz w:val="24"/>
          <w:szCs w:val="24"/>
        </w:rPr>
        <w:t xml:space="preserve">DISPÕE SOBRE O USO E OCUPAÇÃO DO SOLO DO MUNICÍPIO DE FIGUEIRÓPOLIS D’OESTE-MT E DÁ OUTRAS </w:t>
      </w:r>
      <w:proofErr w:type="gramStart"/>
      <w:r w:rsidRPr="00D918FA">
        <w:rPr>
          <w:rFonts w:ascii="Times New Roman" w:hAnsi="Times New Roman"/>
          <w:b/>
          <w:color w:val="000000"/>
          <w:sz w:val="24"/>
          <w:szCs w:val="24"/>
        </w:rPr>
        <w:t>PROVIDÊNCIAS.</w:t>
      </w:r>
      <w:r w:rsidR="009E4B29" w:rsidRPr="00D918FA">
        <w:rPr>
          <w:rFonts w:ascii="Times New Roman" w:hAnsi="Times New Roman"/>
          <w:b/>
          <w:color w:val="000000"/>
          <w:sz w:val="24"/>
          <w:szCs w:val="24"/>
        </w:rPr>
        <w:t>.</w:t>
      </w:r>
      <w:proofErr w:type="gramEnd"/>
    </w:p>
    <w:p w:rsidR="00216F0F" w:rsidRPr="00D918FA" w:rsidRDefault="00216F0F" w:rsidP="00D918FA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</w:p>
    <w:p w:rsidR="00D96BD1" w:rsidRPr="00D918FA" w:rsidRDefault="00D96BD1" w:rsidP="00D918FA">
      <w:pPr>
        <w:spacing w:after="0" w:line="360" w:lineRule="auto"/>
        <w:ind w:firstLine="1418"/>
        <w:jc w:val="both"/>
        <w:rPr>
          <w:rFonts w:ascii="Times New Roman" w:hAnsi="Times New Roman"/>
          <w:sz w:val="24"/>
          <w:szCs w:val="24"/>
        </w:rPr>
      </w:pPr>
      <w:r w:rsidRPr="00D918FA">
        <w:rPr>
          <w:rFonts w:ascii="Times New Roman" w:hAnsi="Times New Roman"/>
          <w:sz w:val="24"/>
          <w:szCs w:val="24"/>
        </w:rPr>
        <w:t>O</w:t>
      </w:r>
      <w:r w:rsidR="00216F0F" w:rsidRPr="00D918FA">
        <w:rPr>
          <w:rFonts w:ascii="Times New Roman" w:hAnsi="Times New Roman"/>
          <w:sz w:val="24"/>
          <w:szCs w:val="24"/>
        </w:rPr>
        <w:t xml:space="preserve"> </w:t>
      </w:r>
      <w:r w:rsidRPr="00D918FA">
        <w:rPr>
          <w:rFonts w:ascii="Times New Roman" w:hAnsi="Times New Roman"/>
          <w:sz w:val="24"/>
          <w:szCs w:val="24"/>
        </w:rPr>
        <w:t xml:space="preserve">Excelentíssimo Senhor, </w:t>
      </w:r>
      <w:r w:rsidR="00D90184" w:rsidRPr="00D918FA">
        <w:rPr>
          <w:rFonts w:ascii="Times New Roman" w:hAnsi="Times New Roman"/>
          <w:sz w:val="24"/>
          <w:szCs w:val="24"/>
        </w:rPr>
        <w:t>ADEMIR FELÍCIO GARCIA</w:t>
      </w:r>
      <w:r w:rsidRPr="00D918FA">
        <w:rPr>
          <w:rFonts w:ascii="Times New Roman" w:hAnsi="Times New Roman"/>
          <w:sz w:val="24"/>
          <w:szCs w:val="24"/>
        </w:rPr>
        <w:t xml:space="preserve">, Prefeito Municipal de </w:t>
      </w:r>
      <w:proofErr w:type="spellStart"/>
      <w:r w:rsidRPr="00D918FA">
        <w:rPr>
          <w:rFonts w:ascii="Times New Roman" w:hAnsi="Times New Roman"/>
          <w:sz w:val="24"/>
          <w:szCs w:val="24"/>
        </w:rPr>
        <w:t>Figueiróp</w:t>
      </w:r>
      <w:r w:rsidR="00216F0F" w:rsidRPr="00D918FA">
        <w:rPr>
          <w:rFonts w:ascii="Times New Roman" w:hAnsi="Times New Roman"/>
          <w:sz w:val="24"/>
          <w:szCs w:val="24"/>
        </w:rPr>
        <w:t>olis</w:t>
      </w:r>
      <w:proofErr w:type="spellEnd"/>
      <w:r w:rsidR="00216F0F" w:rsidRPr="00D918FA">
        <w:rPr>
          <w:rFonts w:ascii="Times New Roman" w:hAnsi="Times New Roman"/>
          <w:sz w:val="24"/>
          <w:szCs w:val="24"/>
        </w:rPr>
        <w:t xml:space="preserve"> d</w:t>
      </w:r>
      <w:r w:rsidRPr="00D918FA">
        <w:rPr>
          <w:rFonts w:ascii="Times New Roman" w:hAnsi="Times New Roman"/>
          <w:sz w:val="24"/>
          <w:szCs w:val="24"/>
        </w:rPr>
        <w:t>’Oeste-MT, no uso de suas atribuições legais. Faz saber que a Câm</w:t>
      </w:r>
      <w:r w:rsidR="005B0544" w:rsidRPr="00D918FA">
        <w:rPr>
          <w:rFonts w:ascii="Times New Roman" w:hAnsi="Times New Roman"/>
          <w:sz w:val="24"/>
          <w:szCs w:val="24"/>
        </w:rPr>
        <w:t xml:space="preserve">ara Municipal de </w:t>
      </w:r>
      <w:proofErr w:type="spellStart"/>
      <w:r w:rsidR="005B0544" w:rsidRPr="00D918FA">
        <w:rPr>
          <w:rFonts w:ascii="Times New Roman" w:hAnsi="Times New Roman"/>
          <w:sz w:val="24"/>
          <w:szCs w:val="24"/>
        </w:rPr>
        <w:t>Figueirópolis</w:t>
      </w:r>
      <w:proofErr w:type="spellEnd"/>
      <w:r w:rsidR="005B0544" w:rsidRPr="00D918FA">
        <w:rPr>
          <w:rFonts w:ascii="Times New Roman" w:hAnsi="Times New Roman"/>
          <w:sz w:val="24"/>
          <w:szCs w:val="24"/>
        </w:rPr>
        <w:t xml:space="preserve"> d</w:t>
      </w:r>
      <w:r w:rsidRPr="00D918FA">
        <w:rPr>
          <w:rFonts w:ascii="Times New Roman" w:hAnsi="Times New Roman"/>
          <w:sz w:val="24"/>
          <w:szCs w:val="24"/>
        </w:rPr>
        <w:t>’Oeste-MT aprovou e eu sanciono a seguinte lei.</w:t>
      </w:r>
    </w:p>
    <w:p w:rsidR="005C5C44" w:rsidRPr="00D918FA" w:rsidRDefault="005C5C44" w:rsidP="00D918FA">
      <w:pPr>
        <w:pStyle w:val="Default"/>
        <w:spacing w:before="100" w:after="100"/>
        <w:jc w:val="both"/>
        <w:rPr>
          <w:b/>
          <w:bCs/>
          <w:color w:val="auto"/>
        </w:rPr>
      </w:pP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TÍTULO I</w:t>
      </w: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DISPOSIÇÕES PRELIMINARES</w:t>
      </w: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</w:t>
      </w: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DOS FUNDAMENTOS E OBJETIVOS</w:t>
      </w:r>
    </w:p>
    <w:p w:rsidR="00D918FA" w:rsidRPr="00D918FA" w:rsidRDefault="00D918FA" w:rsidP="00D918FA">
      <w:pPr>
        <w:autoSpaceDE w:val="0"/>
        <w:autoSpaceDN w:val="0"/>
        <w:adjustRightInd w:val="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1º</w:t>
      </w: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Esta Lei disciplina o uso e a ocupação do solo no Município de </w:t>
      </w:r>
      <w:proofErr w:type="spellStart"/>
      <w:r w:rsidRPr="00D918FA">
        <w:rPr>
          <w:rFonts w:ascii="Times New Roman" w:hAnsi="Times New Roman"/>
          <w:sz w:val="24"/>
          <w:szCs w:val="24"/>
        </w:rPr>
        <w:t>Figueirópolis</w:t>
      </w:r>
      <w:proofErr w:type="spellEnd"/>
      <w:r w:rsidRPr="00D918FA">
        <w:rPr>
          <w:rFonts w:ascii="Times New Roman" w:hAnsi="Times New Roman"/>
          <w:sz w:val="24"/>
          <w:szCs w:val="24"/>
        </w:rPr>
        <w:t xml:space="preserve"> d’Oeste-MT</w:t>
      </w: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que atende aos dispositivos da Lei Orgânica do Município.</w:t>
      </w: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Todo e qualquer parcelamento de terreno, inclusive o decorrente de divisão amigável ou judicial, sua ocupação, desmatamento, construção, reforma, ampliação e utilização de edifícios, são regulamentados pela presente Lei, observado, no que couberem, as disposições das Legislações Federal e Estadual pertinentes, Plano Diretor e Lei de Parcelamento do solo do Município.</w:t>
      </w: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color w:val="000000"/>
          <w:sz w:val="24"/>
          <w:szCs w:val="24"/>
          <w:lang w:eastAsia="pt-BR"/>
        </w:rPr>
        <w:t>Art. 2º</w:t>
      </w: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 xml:space="preserve"> Esta Lei tem como objetivos:</w:t>
      </w: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>I. Regulamentar a abertura de vias públicas e a subdivisão de glebas em lotes para fins urbanos;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t>II. Disciplinar a localização de atividades dentro do território do Município;</w:t>
      </w:r>
    </w:p>
    <w:p w:rsidR="00D918FA" w:rsidRPr="00D918FA" w:rsidRDefault="00D918FA" w:rsidP="00D918FA">
      <w:pPr>
        <w:autoSpaceDE w:val="0"/>
        <w:autoSpaceDN w:val="0"/>
        <w:adjustRightInd w:val="0"/>
        <w:spacing w:after="160"/>
        <w:jc w:val="both"/>
        <w:rPr>
          <w:rFonts w:ascii="Times New Roman" w:hAnsi="Times New Roman"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color w:val="000000"/>
          <w:sz w:val="24"/>
          <w:szCs w:val="24"/>
          <w:lang w:eastAsia="pt-BR"/>
        </w:rPr>
        <w:lastRenderedPageBreak/>
        <w:t>III. Regulamentar a implantação de edificações nos lotes.</w:t>
      </w: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II</w:t>
      </w:r>
    </w:p>
    <w:p w:rsidR="00D918FA" w:rsidRPr="00D918FA" w:rsidRDefault="00D918FA" w:rsidP="00D918FA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DEFINIÇÕES</w:t>
      </w:r>
    </w:p>
    <w:p w:rsidR="00D918FA" w:rsidRPr="00D918FA" w:rsidRDefault="00D918FA" w:rsidP="00D918FA">
      <w:pPr>
        <w:pStyle w:val="Default"/>
        <w:spacing w:before="100" w:after="100"/>
        <w:jc w:val="both"/>
        <w:rPr>
          <w:color w:val="auto"/>
        </w:rPr>
      </w:pPr>
      <w:r w:rsidRPr="00D918FA">
        <w:rPr>
          <w:b/>
          <w:bCs/>
          <w:color w:val="auto"/>
        </w:rPr>
        <w:t xml:space="preserve">Art. 3º </w:t>
      </w:r>
      <w:r w:rsidRPr="00D918FA">
        <w:rPr>
          <w:color w:val="auto"/>
        </w:rPr>
        <w:t xml:space="preserve">Para os efeitos desta lei entende-se por: 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Zonas: são porções do território do Município definidas por Lei e caracterizadas pela função social específica;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Alinhamento: é a linha divisória entre terreno de propriedade particular e logradouro público;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Alvará de parcelamento e alvará de obras: são documentos de obras sujeitas à fiscalização do Poder Executivo;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Área construída: é a soma das áreas de todos os pavimentos de uma edificação;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V. Área de uso institucional: é o espaço reservado para fins específicos de utilidade pública, tais como educação, saúde, cultura e administração;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VI. Área ocupada: é a área de projeção horizontal da edificação sobre o terreno;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VII. Desmembramento: é a subdivisão de gleba com área inferior a 5.000 m² em lotes destinados à edificação, com aproveitamento do sistema viário existente desde que não implique na abertura de novos logradouros públicos nem no prolongamento, modificação ou ampliação dos já existentes;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VIII. Desdobro: é a subdivisão de um lote urbano em dois;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IX. Embargo: é o ato administrativo que determina a paralisação de uma obra;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X. Equipamentos comunitários: são os equipamentos públicos de educação, cultura, saúde, lazer e similares;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XI. Equipamentos urbanos: são os equipamentos públicos de abastecimento de água, serviços de esgoto, energia elétrica, iluminação pública, coleta de lixo, rede telefônica e gás canalizado;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XII. Espaço ou área livre de uso público: é a área de uso comum ou especial da população, destinada, exclusiva ou predominantemente, à recreação ou lazer ao ar livre;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XIII. Faixa de rolamento: é cada uma das faixas que compõem a área destinada ao tráfego de veículos nas vias de circulação;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XIV. Faixa de domínio: é a área de propriedade pública destinada à circulação, que poderá ter largura superior à do conjunto das faixas de rolamento e calçadas;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XV. Faixa não edificante: é a área do terreno onde não é permitida qualquer construção,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proofErr w:type="gram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vinculando</w:t>
      </w:r>
      <w:proofErr w:type="gram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-se o seu uso a uma servidão;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XVI. Faixa sanitária: é a área não edificante cujo uso está vinculado à servidão de passagem para efeito de drenagem e captação de águas pluviais ou construção de rede de esgoto;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XVII. Frente do lote: é a divisa lindeira à via oficial de circulação que dá acesso ao lote;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XVIII. “Habite-se”: é o documento que autoriza a ocupação de edificações sujeitas à fiscalização do Poder Executivo;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XIX. Lote: é a parcela de terreno, constituindo unidade autônoma de propriedade, com pelo menos um acesso por via oficial de circulação;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XX. Logradouro público: é a área de uso comum ou especial da população, destinada exclusiva ou predominantemente à circulação;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XXI. Loteamento: é a subdivisão da gleba em lotes destinados a edificação de qualquer natureza, com abertura de novas vias de circulação, prolongamento, modificação ou ampliação das vias existentes;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XXII. Gleba: é a área de terra que não foi objeto de parcelamento para fins urbanos;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XXIII. Habitação de interesse social: é aquela destinada à população que vive em condições de habitação precária ou aufere renda familiar inferior a 3 (três) salários mínimos;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XXIV. Parcelamento: é a subdivisão de gleba sob forma de loteamento, desmembramento ou desdobro;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XXV. Passeio ou calçada: é a parte do logradouro público reservado ao tráfego de pedestres;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XXVI. Recuo: é a distância entre o limite externo da área ocupada pela edificação e a divisa do lote;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XXVII. Taxa de ocupação: é o quociente entre a área ocupada pela edificação e a área total do terreno a ela vinculada;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XXVIII. Termo de verificação: é o ato através do qual o Poder Executivo, após a devida vistoria, certifica a execução correta das obras exigidas pela legislação competente;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XXIX. Via de circulação: é o espaço de uso comum da população destinado à circulação de veículos, de pedestres ou de ambos;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XXX. Via de circulação interrompida: é aquela em que uma de suas extremidades não desemboca em outra;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XXXI. Vistoria: é a diligência efetuada pelo Poder Executivo, tendo por fim verificar as condições de uma obra ou o uso de um edifício ou terreno;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XXXII. Potencial construtivo de um lote ou terreno: é a área possível de nele ser construído, aplicando- se o coeficiente de aproveitamento;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XXXIII. Solo urbano não edificado, não utilizado ou subutilizado: é a área, lote ou terreno desocupado, sem edificações, sem utilização por atividade social ou econômica ou que apresente coeficiente de aproveitamento ou requisitos menor que aquele definido como mínimo;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XXXIV. Corredores de comércio e serviços: são as faixas constituídas pelos lotes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lindeiros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, de cada lado da rede de vias principais urbanas, destinadas, preferencialmente, aos usos associados a veículos ou geradores de grande volume de tráfego.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TÍTULO II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NORMAS DE PROCEDIMENTOS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DIRETRIZES PARA O PARCELAMENTO DO SOLO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Antes da elaboração dos projetos de parcelamento de gleba o interessado deverá solicitar à Prefeitura Municipal a expedição de Diretrizes Preliminares de Parcelamento, apresentando, para este fim, requerimento acompanhado dos seguintes elementos e informações: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Duas vias de planta da gleba na escala de 1:1000, contendo: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a. As divisas da área a ser parcelada;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b. As curvas de nível de metro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em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metro;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c. A localização dos cursos d'água, nascentes, bosques, árvores e construções existentes;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d. A indicação dos arruamentos contíguos em todo o perímetro com a localização das vias de comunicação, das áreas livres e equipamentos urbanos e comunitários existentes em suas adjacências;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e. O tipo de uso predominante a que o loteamento se destina;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f. As características, dimensões e localização das zonas de uso contíguas;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g. A proposta de abertura das vias de circulação, quadras, lotes e reservas de áreas públicas;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h. O croqui de localização da gleba, em escala 1:5000, contendo as referências que possibilitem a perfeita localização da mesma.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Certidão de matrícula da área, atualizada, expedida pelo Cartório de Registro de Imóveis.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5º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Atendendo ao requerimento do interessado o Poder Executivo, após vistoria na área pela área responsável expedirá as Diretrizes Preliminares de Parcelamento contendo: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Anteprojeto com as vias de circulação a integrarem o sistema viário do Município, quadras, lotes e as áreas de uso público;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As obras necessárias que permitirão a implantação do loteamento em terrenos baixos, alagadiços, sujeitos a inundação e insalubres, a serem executadas antes do parcelamento;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As obras e as diretrizes dos dispositivos necessários à retenção e absorção das águas pluviais, visando à prevenção da erosão;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A fixação de zonas de uso, assim como das Áreas Especiais;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V. As obras e equipamentos mínimos exigíveis pelo Município.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Decorrido o prazo de 2 (dois) anos, sem que o interessado tenha apresentado o requerimento para a aprovação definitiva do parcelamento, as diretrizes serão canceladas automaticamente, não sendo permitido a sua renovação.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Caso as informações fornecidas pelo responsável técnico pelo empreendimento estejam em desacordo com a realidade, as diretrizes fornecidas ficam canceladas.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6º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projeto de parcelamento elaborado em conformidade com as diretrizes expedidas será apresentado pelo interessado que requererá, junto ao Poder Executivo, a correspondente aprovação, juntando-se as seguintes informações: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Certidão de matrícula do imóvel, atualizada, expedida pelo Cartório de Registro de Imóveis;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Certidão de ônus reais que pesem sobre o imóvel;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Certidão negativa de tributos municipais sobre o imóvel, quando se tratar de área urbana;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Projeto em 5 (cinco) vias assinadas pelo proprietário e profissionais habilitados, devidamente aprovadas, contendo: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a. Subdivisão das quadras em lotes, com as respectivas divisões e numeração, localização e configuração das áreas que passarão ao domínio do Município no ato de registro do loteamento;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b. Sistemas de vias com as respectivas hierarquias;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c. As dimensões lineares e angulares do projeto, com raios, cordas, pontos de tangência e de ângulos centrais das vias;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d. Os perfis longitudinais e transversais de todas as vias de circulação e praças;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e. A indicação de marcos de alinhamentos e nivelamentos localizados nos ângulos de curvas de vias projetadas;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f. A indicação de plantas de níveis e perfis de todas as linhas de escoamentos das águas pluviais;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V. Uma via do projeto em meio eletrônico;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VI. Projetos dos equipamentos urbanos de responsabilidade do loteador, em 5 (cinco) vias, previamente aprovados pelas concessionárias respectivas dos serviços a serem implantados;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VII. Memorial descritivo em 5 (cinco) vias, assinado pelo proprietário e pelo profissional habilitado, contendo: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a. Descrição sucinta do loteamento com as suas características;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b. Descrição das áreas públicas que passarão ao domínio do Município no ato de registro do loteamento;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VIII. Orçamento e cronograma físico-financeiro de execução das obras e equipamentos urbanos que deverão ser executados pelo loteador dentro dos prazos previstos;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IX. Anotação de Responsabilidade Técnica (ART), devidamente recolhida pelos profissionais envolvidos no projeto;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X. Termo de Responsabilidade do empreendedor e dos profissionais técnicos sobre as obras de infraestrutura exigidas pelo Município por período de 5 (cinco) anos após a aprovação do parcelamento.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7º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Estando o projeto de acordo com esta Lei e com as legislações municipal, federal e estadual pertinentes, o mesmo será aprovado pelo Poder Executivo. 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8º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loteador caucionará como garantia da execução das obras de infraestrutura previstas na aprovação do parcelamento de solo, outros imóveis que não o que está sendo parcelado, localizados no Município de </w:t>
      </w:r>
      <w:proofErr w:type="spellStart"/>
      <w:r w:rsidRPr="00D918FA">
        <w:rPr>
          <w:rFonts w:ascii="Times New Roman" w:hAnsi="Times New Roman"/>
          <w:sz w:val="24"/>
          <w:szCs w:val="24"/>
        </w:rPr>
        <w:t>Figueirópolis</w:t>
      </w:r>
      <w:proofErr w:type="spellEnd"/>
      <w:r w:rsidRPr="00D918FA">
        <w:rPr>
          <w:rFonts w:ascii="Times New Roman" w:hAnsi="Times New Roman"/>
          <w:sz w:val="24"/>
          <w:szCs w:val="24"/>
        </w:rPr>
        <w:t xml:space="preserve"> d’Oeste-MT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, cujo valor seja correspondente a, no mínimo, 100% (cem por cento) do custo das obras a serem realizadas pelo empreendedor.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empreendedor deverá apresentar, no mínimo, 3 (três) laudos de avaliação imobiliária fornecidos por profissional habilitado pelo CRECI.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caução deverá ser apresentada mediante escritura pública de hipoteca e o seu valor será fixado a juízo do Poder Executivo.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lastRenderedPageBreak/>
        <w:t>§ 3º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critério do Poder Executivo, o loteador poderá oferecer como instrumento de garantia fiança bancária ou outra garantia economicamente idônea, sendo vedado garantia prestada por nota promissória e assemelhados.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4º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ato de aprovação do projeto, bem como do instrumento de garantia mencionado neste artigo, deverão constar especificamente às obras e serviços que o loteador fica obrigado a executar, nos prazos fixados no cronograma físico-financeiro.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9º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Pagos os emolumentos devidos e outorgada a escritura de caução mencionada no artigo anterior, o Poder Executivo expedirá o competente Alvará de Parcelamento.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Alvará de Parcelamento será explicitado o cronograma físico-financeiro aprovado para a execução das obras e a aceitação da garantia.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Caso haja necessidade de alteração nos projetos aprovados, o loteador deverá obter autorização do Poder Executivo e/ou concessionárias anteriormente às suas execuções.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10.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loteador deverá comunicar, por escrito, o início de execução das obras de infraestrutura, ao Poder Executivo ou à concessionária do serviço, para que seja possível o acompanhamento das obras.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11.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Findo o prazo definido no inciso VIII do artigo 6º, caso não tenham sido realizadas as obras e os serviços exigidos, o Poder Executivo, sem prejuízo de outras medidas legais cabíveis, deverá implementá-las, executando a garantia oferecida e comunicando a omissão do loteador ao Ministério Público ou ao Delegado de Polícia.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12.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Uma vez realizadas todas as obras e serviços exigidos, o Poder Executivo, a requerimento do loteador e após a devida fiscalização, expedirá o termo de verificação e liberará o loteador da garantia oferecida.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requerimento do loteador deverá ser acompanhado de uma cópia em meio eletrônico dos projetos do loteamento, tal como executados, que será considerada oficial para todos os efeitos.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TÍTULO III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NORMAS TÉCNICAS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DO PARCELAMENTO DO SOLO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lastRenderedPageBreak/>
        <w:t>Art. 13.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Qualquer gleba objeto de parcelamento deverá ter acesso por, no mínimo, duas vias com faixa de domínio de, no mínimo, 14,00 m de largura, interligando a gleba a uma via do sistema existente.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ônus das obras eventualmente necessárias para a construção ou alargamento da referida via de acesso recairá sobre o loteador. Entendendo que a via deva ter rede de água e esgoto, energia elétrica, iluminação pública, guias e sarjetas, pavimentação asfáltica e calçada com acessibilidade.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14.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vias de circulação de qualquer loteamento deverão garantir continuidade de traçado com as vias de circulação das áreas adjacentes e atender as disposições estabelecidas pelo Município.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vias de circulação que constituírem prolongamento de vias existentes deverão ter a mesma seção transversal dessas, observando, quando possível, a largura mínima de 14 (quatorze) metros.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Não serão permitidas vias sem saída.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§ 3º Será permitido dispositivo de retorno, com raio de 14,00 m, nas vias para uso exclusivo de residência e em loteamentos da Zona Urbana.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15.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quadras terão comprimentos máximos de 214 (duzentos e quatorze) metros.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16.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áreas da gleba a ser parcelada que serão transferidas ao patrimônio municipal, conforme definido na legislação e devem obedecer aos seguintes critérios de localização: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Estarem agrupadas em, no máximo, duas áreas com o mínimo de 1.000,00 m² cada;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Ter frentes para, pelo menos, três vias públicas ou ser contíguas às existentes;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Não ter divisas comuns com lotes privados do parcelamento;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No caso de existência de Áreas de Preservação Permanente na gleba a ser parcelada, as áreas livres deverão se localizar junto àquelas.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parcelamento de gleba, com área inferior a 30.000 (trinta mil) m², o disposto no “caput” deste artigo poderá ser dispensado, de forma integral ou parcial, a critério do Poder Executivo.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exigências do “caput” deste artigo não se aplicam ao desdobramento de lotes resultantes de processo regular de parcelamento do solo para fins urbanos.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3º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parcelamento de gleba, com área inferior a 10.000 (dez mil) m², na Zona Urbana, a reserva de áreas públicas poderá ser substituída por outorga onerosa a ser regulamentada em lei própria.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lastRenderedPageBreak/>
        <w:t>Art. 17.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leito carroçável das vias de circulação deverá apresentar: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Declividade longitudinal não superior a 10% e não inferior a 0,5%;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Declividade transversal do eixo das faixas até o meio fio de 1% a 3%;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18.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alinhamento nos cruzamentos das vias de circulação de veículos deverá ser concordado por um arco de circunferência comum, de raio de 9,00 m.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19.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Os lotes de esquina deverão ter dimensão mínima que permita a inserção da figura de um retângulo com as dimensões mínimas previstas pelo Município, para as diferentes zonas ou usos.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20.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Os taludes resultantes de movimentos de terra deverão ter as seguintes características: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Declividade não superior a 50% (1:2) para taludes em corte e 40% (1:2,5) para taludes de aterro;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Revestimentos com vegetação rasteira apropriada para controle de erosão, podendo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proofErr w:type="gram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ser</w:t>
      </w:r>
      <w:proofErr w:type="gram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dispensado, a critério do Poder Executivo, em taludes de altura inferior a 1 (um) metro e declividade inferior a 1:3;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Canaletas e outros dispositivos de drenagem na crista e na saia do talude, caso este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proofErr w:type="gram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tenha</w:t>
      </w:r>
      <w:proofErr w:type="gram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altura superior a 2 (dois) metros;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Os taludes podem ser substituídos por muros de arrimo ou proteção, a expensas do loteador.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21.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Deve ser preservada até a edificação, a cobertura vegetal de lotes ou terrenos,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proofErr w:type="gram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devidamente</w:t>
      </w:r>
      <w:proofErr w:type="gram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aparada e livre de lixo ou entulho.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Por motivo de saúde pública, o Poder Executivo deverá notificar o loteador para executar, à suas custas, a capinação e a remoção de entulho de lotes ainda de sua propriedade, observando as sanções contidas no Código de Posturas do Município.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22.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Nos lotes em declive, quando a diferença entre as cotas da frente e do fundo do lote for igual ou maior que 1,00 m, os lotes situados a jusante deverão ser dotados de servidão de passagem, com largura mínima de 0,50 m para drenagem das águas pluviais e escoamento dos esgotos provenientes dos lotes vizinhos situados a montante.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referida servidão deverá constar do memorial descritivo do lote.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23.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parcelamento de solo já instalado e que esteja em desconformidade com </w:t>
      </w:r>
      <w:proofErr w:type="gram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o legislação</w:t>
      </w:r>
      <w:proofErr w:type="gram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e com a presente Lei, na data de sua publicação, deverá proceder à sua regularização, submetendo-se às seguintes disposições: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I. Solicitar a regularização junto ao Poder Executivo dentro dos prazos previstos no Plano Diretor;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Apresentar aprovação dos órgãos estaduais e federais competentes;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Atender aos seguintes critérios mínimos: possuir sistema de abastecimento de água, coleta de esgoto e resíduos sólidos, rede de energia elétrica e iluminação pública aprovados, conforme a atribuição, pelo Poder Executivo ou pelas empresas concessionárias de tais serviços públicos.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24.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Estando a documentação de acordo com a legislação e pago os emolumentos, o Poder Executivo expedirá o Alvará de Regularização de Parcelamento.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25.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desmembramento ou desdobro de lote edificável que já seja resultado do parcelamento efetuado anteriormente, o interessado deverá requerer aprovação ao Poder Executivo, atendendo as disposições da legislação e apresentando: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Certidão de matrícula do imóvel, atualizada;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Croqui e memorial descritivo do imóvel a desdobrar assinado pelo proprietário e por profissional habilitado, contendo: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a. Situação atual e situação proposta;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b. Planta da quadra onde se localiza o lote ou terreno com as respectivas dimensões, numerações e ruas adjacentes àquela;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c. Indicação de faixas não edificantes, se houver;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d. Indicação dos confrontantes.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II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DO USO E OCUPAÇÃO DO SOLO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26.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Toda construção, incluindo as ampliações, a serem efetuadas na Zona Urbana, Zona de Urbanização de Interesse Turístico, Zona de Expansão Urbana Mista, Zona de Proteção Ambiental e Zona de Expansão Industrial deverão solicitar, previamente ao Poder Executivo,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Alvará de Construção, apresentando: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Requerimento assinado pelo proprietário do imóvel;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Cópia atualizada da matrícula do imóvel ou do contrato de compra e venda;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>III. Projeto técnico, em 4 (quatro) vias, em conformidade com as disposições constantes no Plano Diretor e desta Lei, devidamente assinado pelo proprietário e pelo responsável técnico;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Memorial descritivo, em 4 (quatro) vias, devidamente assinado pelo proprietário e pelo responsável técnico;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V. Anotação de Responsabilidade Técnica (ART) devidamente recolhida.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1°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responsável técnico deverá estar inscrito, previamente, no cadastro mobiliário da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Prefeitura Municipal.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Poder Executivo deverá editar Decreto regulamentando este artigo.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27.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Poder Executivo, através de seu Serviço competente, analisará o projeto e solicitará, caso necessário, correções para atender a legislação que deverão ser providenciadas pelo responsável técnico.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28.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coeficiente de aproveitamento, taxa de ocupação, taxa de permeabilidade e outros parâmetros permitidos para os lotes contidos nas diferentes Zonas e Áreas Especiais são aqueles constantes na legislação municipal.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29.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construções com mais de dois pavimentos acima do nível do solo, exige-se recuo de frente igual a 1/6 da medida da altura total da construção, observando-se o mínimo de 5 (cinco) metros.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30.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Para construção com mais de dois pavimentos acima do nível do solo, exige-se recuo e afastamento de 1/4 da medida da altura da construção, nas divisas laterais e na divisa de fundo, observando-se o mínimo de 2 (dois) metros.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Se a edificação possuir faces com parede-cega, admite-se para estas o recuo e afastamento de 1/6 da altura total da construção, observando-se o mínimo de 2 (dois) metros.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31.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Fica proibida a construção, para fins residenciais, em lotes com frente para as rodovias.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32.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atividades julgadas incômodas por razão de perigo, ruídos, odores ou tráfegos, bem como de outras atividades praticadas permanentemente, somente poderão ser instaladas a mais de 100 m de hospitais, unidades de saúde e de estabelecimentos de ensino.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33.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áreas destinadas a estacionamento de veículos nos edifícios comerciais ou de serviços deverão ser na proporção de uma vaga para cada 100 m² da área bruta construída ou fração.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Nos casos de edificações que contenham diversas salas comerciais deverá ser garantida, no mínimo, uma vaga para cada sala ou unidade.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III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DOS LOTES E DO SEU USO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34.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Atividades comerciais como estábulos, cocheiras, granjas, avícolas, currais, chiqueiros e estabelecimentos congêneres somente serão permitidos na Zona Rural.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35.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utilização, ampliação e as mudanças de uso dos imóveis situados na Zona Urbana só serão autorizadas se os usos, os lotes e as edificações estiverem de acordo com o disposto na presente Lei e na legislação específica.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36.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Nos casos de estabelecimentos comerciais, industriais ou de prestação de serviços, a expedição do Alvará de Localização é condicionada ao atendimento do disposto em legislação específica e na presente Lei e deverá ser solicitada pelo interessado mediante a apresentação de: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Requerimento com indicação do nome da pessoa ou razão social responsável pela atividade, com firma reconhecida do responsável;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Endereço do local onde a atividade deverá ser exercida;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Descrição sucinta de cada atividade exercida em um mesmo endereço, sob uma mesma razão social.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Declaração da pessoa ou da empresa interessada em cumprir todas as determinações contidas legislação específica e nesta Lei, sob pena de ter o seu Alvará de Localização cancelado e as atividades encerradas.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CAPÍTULO IV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 RESPONSABILIDADE TÉCNICA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37.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Para efeito desta Lei somente profissional legalmente habilitado poderá ser responsável técnico por projetos ou especificações de parcelamento de solo ou construção a serem submetidos ao Poder Executivo.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1°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responsabilidade civil pelos serviços do projeto, cálculo, especificação e execução cabe aos seus autores, responsáveis técnicos e construtores.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2°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Só poderão ser responsáveis técnicos os profissionais que apresentarem a certidão de registro do Conselho Regional de Engenharia, Arquitetura e Agronomia CREA/CAU e estarem cadastrados na Prefeitura Municipal.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TÍTULO IV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INFRAÇÕES E PENALIDADES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38.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infração a qualquer dispositivo desta Lei poderá acarretar, sem prejuízo das medidas de natureza civil e criminal previstas no Código Civil e na Lei nº 6.766 de 10 de dezembro de 1.979 e suas alterações, a aplicação das seguintes penalidades: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I. Multa;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Embargo;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III. Interdição;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IV. Demolição.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39.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qualquer infração aos dispositivos desta Lei ou no de realização de obra ou serviço que ofereça perigo às pessoas, o infrator ou dono da obra ou serviço será notificado para, dentro do prazo que lhe for determinado, regularizar a situação.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40.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decurso do prazo da notificação, sem que tenha sido regularizada a situação que deu causa, acarretará: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I. Multa de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300 (trezentas)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no caso de infração consistente na apresentação de projeto para exame do Poder Executivo, com indicação falsa sobre o imóvel a ser parcelado, modificado ou utilizado;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II. O embargo da obra ou do serviço ou do imóvel até sua regularização, nos outros casos de infração.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41.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desrespeito ao embargo da obra, serviço ou uso do imóvel, independentemente de outras penalidades cabíveis, sujeitará o infrator às multas especificadas no § 1º deste artigo, aplicadas por dia de prosseguimento da obra ou serviço ou de uso de imóvel à revelia do embargo e, ainda, a demolição das partes em desacordo com as especificações desta Lei.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1º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multas diárias aplicáveis, conforme o tipo de infração são as seguintes: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I. Executar obras em descordo com as indicações apresentadas no projeto ou no alvará de parcelamento: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300 (trezentas)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II. Executar obras em desconformidade com as normas técnicas desta Lei: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300 (trezentas) 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III. III executar qualquer obra de parcelamento sem respectivo alvará: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600 (seiscentas)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lastRenderedPageBreak/>
        <w:t xml:space="preserve">IV. Edificar sem o respectivo alvará: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600 (seiscentas) </w:t>
      </w:r>
      <w:proofErr w:type="spellStart"/>
      <w:r w:rsidRPr="00D918FA">
        <w:rPr>
          <w:rFonts w:ascii="Times New Roman" w:hAnsi="Times New Roman"/>
          <w:bCs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V. Faltar com as precauções necessárias para a segurança ou causar danos a pessoas ou propriedades, ou acarretar prejuízo a logradouros públicos em razão da execução de obras: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300 (trezentas)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VI. Anunciar, por qualquer meio, a venda, promessa ou cessão de direitos relativos a imóveis, sem aprovação no Poder Executivo e o devido registro no Cartório de Registro de Imóveis do parcelamento ou após o término de prazos concedidos em qualquer caso, quando os efeitos formais ou materiais contrariarem as disposições da legislação municipal vigente: 300 (trezentas)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;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VII. Utilização de imóvel para residência ou para exercício de atividade de comércio, serviços ou indústrias sem “habite-se” ou sem licença para localização e funcionamento, ou utilização em desacordo com os termos de licença expedida, inclusive prazo de validade: </w:t>
      </w:r>
      <w:r w:rsidRPr="00D918FA">
        <w:rPr>
          <w:rFonts w:ascii="Times New Roman" w:hAnsi="Times New Roman"/>
          <w:bCs/>
          <w:sz w:val="24"/>
          <w:szCs w:val="24"/>
          <w:lang w:eastAsia="pt-BR"/>
        </w:rPr>
        <w:t xml:space="preserve">300 (trezentas) </w:t>
      </w:r>
      <w:proofErr w:type="spellStart"/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>UPFs</w:t>
      </w:r>
      <w:proofErr w:type="spellEnd"/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§ 2º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Na reincidência, dentro de 12 (doze) meses contados da primeira infração, a multa será em dobro.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42.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 aplicação das penalidades previstas neste capítulo não dispensa o atendimento das disposições desta Lei, de suas normas regulamentares, bem como não desobriga o infrator de ressarcir eventuais danos resultantes da infração na forma da legislação vigente.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TÍTULO V</w:t>
      </w:r>
    </w:p>
    <w:p w:rsid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DAS DISPOSIÇÕES GERAIS E TRANSITÓRIAS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</w:pP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43.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Os proprietários de imóveis urbanos deverão pavimentar os passeios públicos fronteiriços e mantê-los limpos e desobstruídos.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44.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São considerados não conformes os usos, lotes e edificações utilizadas em datas anteriores à da promulgação da presente Lei e que não atendam às suas disposições.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45.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Os lotes não conformes são considerados edificáveis.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São permitidas alterações de área ou configuração de lotes não conformes, desde que não agravem sua desconformidade em relação à presente Lei.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46.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condições não conformes só poderão sofrer reformas ou ampliações que não agravem sua desconformidade em relação a presente Lei.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lastRenderedPageBreak/>
        <w:t>Art. 47.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mudanças de uso em lotes ou edificações não conformes são permitidas desde que o novo uso seja permitido pela presente Lei na zona em que estiverem situados.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48.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Esta Lei e sua execução ficam sujeitas ao contínuo acompanhamento, revisão e adaptação às circunstâncias emergentes mobilizados, para tanto, os mecanismos de participação a serem previstas em legislação específica como o Plano Diretor.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Parágrafo Único: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O Poder Executivo deverá promover, em 360 dias após a publicação desta Lei, estudo técnico para definir o mapa de zoneamento sócio econômico ecológico do Município, a ser aprovado em lei específica.</w:t>
      </w:r>
    </w:p>
    <w:p w:rsidR="00D918FA" w:rsidRPr="00D918FA" w:rsidRDefault="00D918FA" w:rsidP="00D918FA">
      <w:pPr>
        <w:autoSpaceDE w:val="0"/>
        <w:autoSpaceDN w:val="0"/>
        <w:adjustRightInd w:val="0"/>
        <w:spacing w:after="120"/>
        <w:jc w:val="both"/>
        <w:rPr>
          <w:rFonts w:ascii="Times New Roman" w:hAnsi="Times New Roman"/>
          <w:bCs/>
          <w:color w:val="000000"/>
          <w:sz w:val="24"/>
          <w:szCs w:val="24"/>
          <w:lang w:eastAsia="pt-BR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49.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As despesas decorrentes com a execução da presente Lei correrão por conta das dotações orçamentárias vigentes, suplementadas se necessário.</w:t>
      </w:r>
    </w:p>
    <w:p w:rsidR="00DF35AB" w:rsidRPr="00D918FA" w:rsidRDefault="00D918FA" w:rsidP="00D918FA">
      <w:pPr>
        <w:spacing w:after="0" w:line="240" w:lineRule="auto"/>
        <w:jc w:val="both"/>
        <w:rPr>
          <w:rFonts w:ascii="Times New Roman" w:eastAsia="Batang" w:hAnsi="Times New Roman"/>
          <w:sz w:val="24"/>
          <w:szCs w:val="24"/>
        </w:rPr>
      </w:pPr>
      <w:r w:rsidRPr="00D918FA">
        <w:rPr>
          <w:rFonts w:ascii="Times New Roman" w:hAnsi="Times New Roman"/>
          <w:b/>
          <w:bCs/>
          <w:color w:val="000000"/>
          <w:sz w:val="24"/>
          <w:szCs w:val="24"/>
          <w:lang w:eastAsia="pt-BR"/>
        </w:rPr>
        <w:t>Art. 50.</w:t>
      </w:r>
      <w:r w:rsidRPr="00D918FA">
        <w:rPr>
          <w:rFonts w:ascii="Times New Roman" w:hAnsi="Times New Roman"/>
          <w:bCs/>
          <w:color w:val="000000"/>
          <w:sz w:val="24"/>
          <w:szCs w:val="24"/>
          <w:lang w:eastAsia="pt-BR"/>
        </w:rPr>
        <w:t xml:space="preserve"> Esta Lei entrará em vigor na data de sua publicação, revogadas as disposições em contrário</w:t>
      </w:r>
    </w:p>
    <w:p w:rsidR="009E4B29" w:rsidRPr="00D918FA" w:rsidRDefault="009E4B29" w:rsidP="00D918F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D918FA" w:rsidRDefault="00D918FA" w:rsidP="00D918F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</w:p>
    <w:p w:rsidR="00027ADC" w:rsidRPr="00D918FA" w:rsidRDefault="0085043D" w:rsidP="00D918FA">
      <w:pPr>
        <w:spacing w:after="0" w:line="240" w:lineRule="auto"/>
        <w:ind w:firstLine="1418"/>
        <w:jc w:val="both"/>
        <w:rPr>
          <w:rFonts w:ascii="Times New Roman" w:eastAsia="Batang" w:hAnsi="Times New Roman"/>
          <w:sz w:val="24"/>
          <w:szCs w:val="24"/>
        </w:rPr>
      </w:pPr>
      <w:proofErr w:type="spellStart"/>
      <w:r w:rsidRPr="00D918FA">
        <w:rPr>
          <w:rFonts w:ascii="Times New Roman" w:eastAsia="Batang" w:hAnsi="Times New Roman"/>
          <w:sz w:val="24"/>
          <w:szCs w:val="24"/>
        </w:rPr>
        <w:t>Figueirópolis</w:t>
      </w:r>
      <w:proofErr w:type="spellEnd"/>
      <w:r w:rsidRPr="00D918FA">
        <w:rPr>
          <w:rFonts w:ascii="Times New Roman" w:eastAsia="Batang" w:hAnsi="Times New Roman"/>
          <w:sz w:val="24"/>
          <w:szCs w:val="24"/>
        </w:rPr>
        <w:t xml:space="preserve"> d’Oeste-MT</w:t>
      </w:r>
      <w:r w:rsidR="00027ADC" w:rsidRPr="00D918FA">
        <w:rPr>
          <w:rFonts w:ascii="Times New Roman" w:eastAsia="Batang" w:hAnsi="Times New Roman"/>
          <w:sz w:val="24"/>
          <w:szCs w:val="24"/>
        </w:rPr>
        <w:t xml:space="preserve">, </w:t>
      </w:r>
      <w:r w:rsidR="00BF77D1">
        <w:rPr>
          <w:rFonts w:ascii="Times New Roman" w:eastAsia="Batang" w:hAnsi="Times New Roman"/>
          <w:sz w:val="24"/>
          <w:szCs w:val="24"/>
        </w:rPr>
        <w:t>07</w:t>
      </w:r>
      <w:bookmarkStart w:id="0" w:name="_GoBack"/>
      <w:bookmarkEnd w:id="0"/>
      <w:r w:rsidR="009E4B29" w:rsidRPr="00D918FA">
        <w:rPr>
          <w:rFonts w:ascii="Times New Roman" w:eastAsia="Batang" w:hAnsi="Times New Roman"/>
          <w:sz w:val="24"/>
          <w:szCs w:val="24"/>
        </w:rPr>
        <w:t xml:space="preserve"> de outubro</w:t>
      </w:r>
      <w:r w:rsidRPr="00D918FA">
        <w:rPr>
          <w:rFonts w:ascii="Times New Roman" w:eastAsia="Batang" w:hAnsi="Times New Roman"/>
          <w:sz w:val="24"/>
          <w:szCs w:val="24"/>
        </w:rPr>
        <w:t xml:space="preserve"> de 202</w:t>
      </w:r>
      <w:r w:rsidR="00793D16" w:rsidRPr="00D918FA">
        <w:rPr>
          <w:rFonts w:ascii="Times New Roman" w:eastAsia="Batang" w:hAnsi="Times New Roman"/>
          <w:sz w:val="24"/>
          <w:szCs w:val="24"/>
        </w:rPr>
        <w:t>5</w:t>
      </w:r>
      <w:r w:rsidRPr="00D918FA">
        <w:rPr>
          <w:rFonts w:ascii="Times New Roman" w:eastAsia="Batang" w:hAnsi="Times New Roman"/>
          <w:sz w:val="24"/>
          <w:szCs w:val="24"/>
        </w:rPr>
        <w:t>.</w:t>
      </w:r>
    </w:p>
    <w:p w:rsidR="00027ADC" w:rsidRPr="00D918FA" w:rsidRDefault="00027ADC" w:rsidP="00D918F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027ADC" w:rsidRPr="00D918FA" w:rsidRDefault="00027ADC" w:rsidP="00D918F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216F0F" w:rsidRDefault="00216F0F" w:rsidP="00D918F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D918FA" w:rsidRPr="00D918FA" w:rsidRDefault="00D918FA" w:rsidP="00D918FA">
      <w:pPr>
        <w:spacing w:after="0" w:line="240" w:lineRule="auto"/>
        <w:jc w:val="both"/>
        <w:rPr>
          <w:rFonts w:ascii="Times New Roman" w:eastAsia="Batang" w:hAnsi="Times New Roman"/>
          <w:b/>
          <w:sz w:val="24"/>
          <w:szCs w:val="24"/>
        </w:rPr>
      </w:pPr>
    </w:p>
    <w:p w:rsidR="00027ADC" w:rsidRPr="00D918FA" w:rsidRDefault="008B2524" w:rsidP="00D918FA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D918FA">
        <w:rPr>
          <w:rFonts w:ascii="Times New Roman" w:eastAsia="Batang" w:hAnsi="Times New Roman"/>
          <w:b/>
          <w:sz w:val="24"/>
          <w:szCs w:val="24"/>
        </w:rPr>
        <w:t>Ademir Felício Garcia</w:t>
      </w:r>
    </w:p>
    <w:p w:rsidR="00027ADC" w:rsidRPr="00D918FA" w:rsidRDefault="00027ADC" w:rsidP="00D918FA">
      <w:pPr>
        <w:spacing w:after="0" w:line="240" w:lineRule="auto"/>
        <w:jc w:val="center"/>
        <w:rPr>
          <w:rFonts w:ascii="Times New Roman" w:eastAsia="Batang" w:hAnsi="Times New Roman"/>
          <w:b/>
          <w:sz w:val="24"/>
          <w:szCs w:val="24"/>
        </w:rPr>
      </w:pPr>
      <w:r w:rsidRPr="00D918FA">
        <w:rPr>
          <w:rFonts w:ascii="Times New Roman" w:eastAsia="Batang" w:hAnsi="Times New Roman"/>
          <w:b/>
          <w:sz w:val="24"/>
          <w:szCs w:val="24"/>
        </w:rPr>
        <w:t>Prefeito Municipal</w:t>
      </w:r>
    </w:p>
    <w:sectPr w:rsidR="00027ADC" w:rsidRPr="00D918FA" w:rsidSect="003165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3623" w:rsidRDefault="00CE3623" w:rsidP="00732E4E">
      <w:pPr>
        <w:spacing w:after="0" w:line="240" w:lineRule="auto"/>
      </w:pPr>
      <w:r>
        <w:separator/>
      </w:r>
    </w:p>
  </w:endnote>
  <w:endnote w:type="continuationSeparator" w:id="0">
    <w:p w:rsidR="00CE3623" w:rsidRDefault="00CE3623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Pr="005F085C" w:rsidRDefault="00907FE8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07C3747" wp14:editId="7861746F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94A0D2B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DBCB7C4" wp14:editId="5BE2B457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5761546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Pr="005F085C">
      <w:rPr>
        <w:rFonts w:asciiTheme="minorHAnsi" w:hAnsiTheme="minorHAnsi" w:cstheme="minorHAnsi"/>
        <w:b/>
        <w:sz w:val="24"/>
        <w:szCs w:val="24"/>
      </w:rPr>
      <w:t>Rua</w:t>
    </w:r>
    <w:r w:rsidRPr="005F085C">
      <w:rPr>
        <w:rFonts w:asciiTheme="minorHAnsi" w:hAnsiTheme="minorHAnsi" w:cstheme="minorHAnsi"/>
        <w:b/>
        <w:szCs w:val="20"/>
      </w:rPr>
      <w:t xml:space="preserve"> santa Catarina, 146 –CEP 78290-000 – </w:t>
    </w:r>
    <w:proofErr w:type="spellStart"/>
    <w:r w:rsidRPr="005F085C">
      <w:rPr>
        <w:rFonts w:asciiTheme="minorHAnsi" w:hAnsiTheme="minorHAnsi" w:cstheme="minorHAnsi"/>
        <w:b/>
        <w:szCs w:val="20"/>
      </w:rPr>
      <w:t>Figueirópolis</w:t>
    </w:r>
    <w:proofErr w:type="spellEnd"/>
    <w:r w:rsidRPr="005F085C">
      <w:rPr>
        <w:rFonts w:asciiTheme="minorHAnsi" w:hAnsiTheme="minorHAnsi" w:cstheme="minorHAnsi"/>
        <w:b/>
        <w:szCs w:val="20"/>
      </w:rPr>
      <w:t xml:space="preserve"> D’Oeste – MT </w:t>
    </w:r>
  </w:p>
  <w:p w:rsidR="00907FE8" w:rsidRPr="005F085C" w:rsidRDefault="00907FE8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  <w:lang w:val="en-US"/>
      </w:rPr>
    </w:pPr>
    <w:proofErr w:type="spellStart"/>
    <w:r w:rsidRPr="005F085C">
      <w:rPr>
        <w:rFonts w:asciiTheme="minorHAnsi" w:hAnsiTheme="minorHAnsi" w:cstheme="minorHAnsi"/>
        <w:b/>
        <w:szCs w:val="20"/>
        <w:lang w:val="en-US"/>
      </w:rPr>
      <w:t>Telefone</w:t>
    </w:r>
    <w:proofErr w:type="spellEnd"/>
    <w:r w:rsidRPr="005F085C">
      <w:rPr>
        <w:rFonts w:asciiTheme="minorHAnsi" w:hAnsiTheme="minorHAnsi" w:cstheme="minorHAnsi"/>
        <w:b/>
        <w:szCs w:val="20"/>
        <w:lang w:val="en-US"/>
      </w:rPr>
      <w:t xml:space="preserve">: +55 (65) 3235-1595 – Fax +55 (65) 3235-1586 | </w:t>
    </w:r>
    <w:hyperlink r:id="rId1" w:history="1">
      <w:r w:rsidRPr="005F085C">
        <w:rPr>
          <w:rStyle w:val="Hyperlink"/>
          <w:rFonts w:asciiTheme="minorHAnsi" w:hAnsiTheme="minorHAnsi" w:cstheme="minorHAnsi"/>
          <w:b/>
          <w:szCs w:val="20"/>
          <w:lang w:val="en-US"/>
        </w:rPr>
        <w:t>prefigue@figueiropolisdoeste.mt.gov.br</w:t>
      </w:r>
    </w:hyperlink>
    <w:r w:rsidRPr="005F085C">
      <w:rPr>
        <w:rFonts w:asciiTheme="minorHAnsi" w:hAnsiTheme="minorHAnsi" w:cstheme="minorHAnsi"/>
        <w:b/>
        <w:szCs w:val="20"/>
        <w:lang w:val="en-US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3623" w:rsidRDefault="00CE3623" w:rsidP="00732E4E">
      <w:pPr>
        <w:spacing w:after="0" w:line="240" w:lineRule="auto"/>
      </w:pPr>
      <w:r>
        <w:separator/>
      </w:r>
    </w:p>
  </w:footnote>
  <w:footnote w:type="continuationSeparator" w:id="0">
    <w:p w:rsidR="00CE3623" w:rsidRDefault="00CE3623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484C3368" wp14:editId="2E5CFDAA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907FE8" w:rsidRPr="00A107AC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907FE8" w:rsidRDefault="00907FE8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907FE8" w:rsidRPr="00614B7D" w:rsidRDefault="00907FE8" w:rsidP="003165D8">
    <w:pPr>
      <w:pStyle w:val="Cabealho"/>
      <w:spacing w:before="120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FE8" w:rsidRDefault="00907FE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BD1"/>
    <w:rsid w:val="0001389A"/>
    <w:rsid w:val="00027ADC"/>
    <w:rsid w:val="00081203"/>
    <w:rsid w:val="000861A8"/>
    <w:rsid w:val="000866D1"/>
    <w:rsid w:val="00090150"/>
    <w:rsid w:val="000A3D43"/>
    <w:rsid w:val="000B1CC7"/>
    <w:rsid w:val="000B212A"/>
    <w:rsid w:val="000B65E3"/>
    <w:rsid w:val="000C5F9E"/>
    <w:rsid w:val="000F5EA7"/>
    <w:rsid w:val="001021E6"/>
    <w:rsid w:val="001031A8"/>
    <w:rsid w:val="0010428D"/>
    <w:rsid w:val="00161452"/>
    <w:rsid w:val="0016253C"/>
    <w:rsid w:val="0017432B"/>
    <w:rsid w:val="0017476E"/>
    <w:rsid w:val="00180BD3"/>
    <w:rsid w:val="001A24F5"/>
    <w:rsid w:val="001C4C04"/>
    <w:rsid w:val="001D0789"/>
    <w:rsid w:val="001E23EE"/>
    <w:rsid w:val="001E6D8F"/>
    <w:rsid w:val="001F2C79"/>
    <w:rsid w:val="001F4F83"/>
    <w:rsid w:val="001F7A6B"/>
    <w:rsid w:val="00200734"/>
    <w:rsid w:val="002038CF"/>
    <w:rsid w:val="00216F0F"/>
    <w:rsid w:val="002254DD"/>
    <w:rsid w:val="00250446"/>
    <w:rsid w:val="00255420"/>
    <w:rsid w:val="00262579"/>
    <w:rsid w:val="0027034C"/>
    <w:rsid w:val="00283C2A"/>
    <w:rsid w:val="00290535"/>
    <w:rsid w:val="00293B4A"/>
    <w:rsid w:val="002A1480"/>
    <w:rsid w:val="002F2D75"/>
    <w:rsid w:val="002F47E0"/>
    <w:rsid w:val="002F48CC"/>
    <w:rsid w:val="0030318F"/>
    <w:rsid w:val="003109DB"/>
    <w:rsid w:val="00315E89"/>
    <w:rsid w:val="003165D8"/>
    <w:rsid w:val="00327C6F"/>
    <w:rsid w:val="00333964"/>
    <w:rsid w:val="003351FA"/>
    <w:rsid w:val="003501CC"/>
    <w:rsid w:val="00355F69"/>
    <w:rsid w:val="00373F01"/>
    <w:rsid w:val="00376947"/>
    <w:rsid w:val="0038181C"/>
    <w:rsid w:val="00390EF6"/>
    <w:rsid w:val="003A185E"/>
    <w:rsid w:val="003C49F0"/>
    <w:rsid w:val="003D237D"/>
    <w:rsid w:val="003E1305"/>
    <w:rsid w:val="003F12D8"/>
    <w:rsid w:val="004055C2"/>
    <w:rsid w:val="00406D02"/>
    <w:rsid w:val="004345C1"/>
    <w:rsid w:val="004432CF"/>
    <w:rsid w:val="004444DC"/>
    <w:rsid w:val="0044652A"/>
    <w:rsid w:val="00473BC1"/>
    <w:rsid w:val="00495F81"/>
    <w:rsid w:val="004A1395"/>
    <w:rsid w:val="004A6151"/>
    <w:rsid w:val="004B40A0"/>
    <w:rsid w:val="004C2E1C"/>
    <w:rsid w:val="004F3189"/>
    <w:rsid w:val="005032F3"/>
    <w:rsid w:val="00505E5B"/>
    <w:rsid w:val="00506638"/>
    <w:rsid w:val="00506E22"/>
    <w:rsid w:val="00521A41"/>
    <w:rsid w:val="00526099"/>
    <w:rsid w:val="00527001"/>
    <w:rsid w:val="00545C03"/>
    <w:rsid w:val="00553417"/>
    <w:rsid w:val="005657DC"/>
    <w:rsid w:val="0056766E"/>
    <w:rsid w:val="00571F55"/>
    <w:rsid w:val="0059585B"/>
    <w:rsid w:val="005B0544"/>
    <w:rsid w:val="005B1F6F"/>
    <w:rsid w:val="005B39F6"/>
    <w:rsid w:val="005B4A74"/>
    <w:rsid w:val="005C5C44"/>
    <w:rsid w:val="005C676F"/>
    <w:rsid w:val="005C7C13"/>
    <w:rsid w:val="005D3480"/>
    <w:rsid w:val="005F085C"/>
    <w:rsid w:val="005F71ED"/>
    <w:rsid w:val="006005F0"/>
    <w:rsid w:val="006110E1"/>
    <w:rsid w:val="00614B7D"/>
    <w:rsid w:val="0064296C"/>
    <w:rsid w:val="00643929"/>
    <w:rsid w:val="006459C3"/>
    <w:rsid w:val="00646806"/>
    <w:rsid w:val="00653D4B"/>
    <w:rsid w:val="006621A7"/>
    <w:rsid w:val="00665C1E"/>
    <w:rsid w:val="00682CE6"/>
    <w:rsid w:val="00684C93"/>
    <w:rsid w:val="00694E79"/>
    <w:rsid w:val="00696B5A"/>
    <w:rsid w:val="006A1763"/>
    <w:rsid w:val="006A679E"/>
    <w:rsid w:val="006A7CA1"/>
    <w:rsid w:val="006D3AFD"/>
    <w:rsid w:val="006D44DF"/>
    <w:rsid w:val="006E5AFF"/>
    <w:rsid w:val="006E69C5"/>
    <w:rsid w:val="00706C0D"/>
    <w:rsid w:val="00731194"/>
    <w:rsid w:val="00732E4E"/>
    <w:rsid w:val="00734EFE"/>
    <w:rsid w:val="00747C18"/>
    <w:rsid w:val="007505A1"/>
    <w:rsid w:val="0075728F"/>
    <w:rsid w:val="00781BF4"/>
    <w:rsid w:val="00793D16"/>
    <w:rsid w:val="00796B31"/>
    <w:rsid w:val="007A0507"/>
    <w:rsid w:val="007A67C1"/>
    <w:rsid w:val="007C7264"/>
    <w:rsid w:val="007D485F"/>
    <w:rsid w:val="007E0419"/>
    <w:rsid w:val="007E06CC"/>
    <w:rsid w:val="007E31F6"/>
    <w:rsid w:val="007F308D"/>
    <w:rsid w:val="008070B2"/>
    <w:rsid w:val="00807C07"/>
    <w:rsid w:val="008127F5"/>
    <w:rsid w:val="00817B45"/>
    <w:rsid w:val="0082514C"/>
    <w:rsid w:val="00834050"/>
    <w:rsid w:val="0085043D"/>
    <w:rsid w:val="00861798"/>
    <w:rsid w:val="00862514"/>
    <w:rsid w:val="00877E23"/>
    <w:rsid w:val="008B2524"/>
    <w:rsid w:val="008B2EF5"/>
    <w:rsid w:val="008B6C4C"/>
    <w:rsid w:val="008D3F44"/>
    <w:rsid w:val="008F388D"/>
    <w:rsid w:val="008F3CBB"/>
    <w:rsid w:val="00907FE8"/>
    <w:rsid w:val="009212CA"/>
    <w:rsid w:val="0093073C"/>
    <w:rsid w:val="00933501"/>
    <w:rsid w:val="009529DC"/>
    <w:rsid w:val="00963E4D"/>
    <w:rsid w:val="00976297"/>
    <w:rsid w:val="0098008A"/>
    <w:rsid w:val="009B0293"/>
    <w:rsid w:val="009B1698"/>
    <w:rsid w:val="009D4C94"/>
    <w:rsid w:val="009E4B29"/>
    <w:rsid w:val="00A050BE"/>
    <w:rsid w:val="00A144C2"/>
    <w:rsid w:val="00A15703"/>
    <w:rsid w:val="00A34921"/>
    <w:rsid w:val="00A41FFA"/>
    <w:rsid w:val="00A44E94"/>
    <w:rsid w:val="00A546AC"/>
    <w:rsid w:val="00A60A79"/>
    <w:rsid w:val="00A71A2D"/>
    <w:rsid w:val="00A75039"/>
    <w:rsid w:val="00A91A0A"/>
    <w:rsid w:val="00A9275C"/>
    <w:rsid w:val="00AA2ADB"/>
    <w:rsid w:val="00AC01EC"/>
    <w:rsid w:val="00AC14ED"/>
    <w:rsid w:val="00AF7F45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76311"/>
    <w:rsid w:val="00B96549"/>
    <w:rsid w:val="00BA1ABA"/>
    <w:rsid w:val="00BC5A5C"/>
    <w:rsid w:val="00BD2A43"/>
    <w:rsid w:val="00BD6F38"/>
    <w:rsid w:val="00BF6D47"/>
    <w:rsid w:val="00BF77D1"/>
    <w:rsid w:val="00C03CDB"/>
    <w:rsid w:val="00C3450C"/>
    <w:rsid w:val="00C473BB"/>
    <w:rsid w:val="00C83DF1"/>
    <w:rsid w:val="00CC23D5"/>
    <w:rsid w:val="00CC4140"/>
    <w:rsid w:val="00CD588A"/>
    <w:rsid w:val="00CE35CB"/>
    <w:rsid w:val="00CE3623"/>
    <w:rsid w:val="00CF598B"/>
    <w:rsid w:val="00CF5DDF"/>
    <w:rsid w:val="00D17BBC"/>
    <w:rsid w:val="00D5195B"/>
    <w:rsid w:val="00D63E18"/>
    <w:rsid w:val="00D732BF"/>
    <w:rsid w:val="00D73860"/>
    <w:rsid w:val="00D90184"/>
    <w:rsid w:val="00D918FA"/>
    <w:rsid w:val="00D96BD1"/>
    <w:rsid w:val="00DA643E"/>
    <w:rsid w:val="00DC3A23"/>
    <w:rsid w:val="00DD2EF6"/>
    <w:rsid w:val="00DD7A19"/>
    <w:rsid w:val="00DE5730"/>
    <w:rsid w:val="00DE68CE"/>
    <w:rsid w:val="00DE6C14"/>
    <w:rsid w:val="00DE779B"/>
    <w:rsid w:val="00DE7BAF"/>
    <w:rsid w:val="00DF35AB"/>
    <w:rsid w:val="00E003ED"/>
    <w:rsid w:val="00E07D2A"/>
    <w:rsid w:val="00E135B0"/>
    <w:rsid w:val="00E23697"/>
    <w:rsid w:val="00E251AB"/>
    <w:rsid w:val="00E309F6"/>
    <w:rsid w:val="00E343AA"/>
    <w:rsid w:val="00E35881"/>
    <w:rsid w:val="00E3739D"/>
    <w:rsid w:val="00E41079"/>
    <w:rsid w:val="00E5517B"/>
    <w:rsid w:val="00E6260C"/>
    <w:rsid w:val="00E660D3"/>
    <w:rsid w:val="00E770A0"/>
    <w:rsid w:val="00E77A8C"/>
    <w:rsid w:val="00E849DF"/>
    <w:rsid w:val="00E96805"/>
    <w:rsid w:val="00EB25FC"/>
    <w:rsid w:val="00EC57AF"/>
    <w:rsid w:val="00ED7201"/>
    <w:rsid w:val="00EE1E3B"/>
    <w:rsid w:val="00F0418B"/>
    <w:rsid w:val="00F16766"/>
    <w:rsid w:val="00F206AE"/>
    <w:rsid w:val="00F32DD8"/>
    <w:rsid w:val="00F5665B"/>
    <w:rsid w:val="00F606FE"/>
    <w:rsid w:val="00F721E2"/>
    <w:rsid w:val="00F90950"/>
    <w:rsid w:val="00F953A5"/>
    <w:rsid w:val="00FA0233"/>
    <w:rsid w:val="00FA0C20"/>
    <w:rsid w:val="00FA4220"/>
    <w:rsid w:val="00FA54FA"/>
    <w:rsid w:val="00FC21B5"/>
    <w:rsid w:val="00FC4C39"/>
    <w:rsid w:val="00FD17E4"/>
    <w:rsid w:val="00FD1FC0"/>
    <w:rsid w:val="00FE64FB"/>
    <w:rsid w:val="00FF7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B06740-28CB-46D4-B531-5997E619D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BD1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D918F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uiPriority w:val="99"/>
    <w:qFormat/>
    <w:rsid w:val="00D96BD1"/>
    <w:rPr>
      <w:rFonts w:cs="Times New Roman"/>
      <w:b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96BD1"/>
    <w:pPr>
      <w:spacing w:after="120"/>
    </w:pPr>
    <w:rPr>
      <w:rFonts w:cstheme="minorBidi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96BD1"/>
    <w:rPr>
      <w:rFonts w:cstheme="minorBidi"/>
      <w:sz w:val="22"/>
      <w:szCs w:val="22"/>
      <w:lang w:eastAsia="en-US"/>
    </w:rPr>
  </w:style>
  <w:style w:type="paragraph" w:styleId="SemEspaamento">
    <w:name w:val="No Spacing"/>
    <w:uiPriority w:val="1"/>
    <w:qFormat/>
    <w:rsid w:val="008F3CBB"/>
    <w:rPr>
      <w:sz w:val="22"/>
      <w:szCs w:val="22"/>
      <w:lang w:eastAsia="en-US"/>
    </w:rPr>
  </w:style>
  <w:style w:type="paragraph" w:customStyle="1" w:styleId="Default">
    <w:name w:val="Default"/>
    <w:rsid w:val="00A44E9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D918F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%20JURIDICA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FA0A58-3CF9-4ED3-AFA9-8DEAAAC49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159</TotalTime>
  <Pages>15</Pages>
  <Words>4457</Words>
  <Characters>24068</Characters>
  <Application>Microsoft Office Word</Application>
  <DocSecurity>0</DocSecurity>
  <Lines>200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JURIDICA</dc:creator>
  <cp:lastModifiedBy>Conta da Microsoft</cp:lastModifiedBy>
  <cp:revision>35</cp:revision>
  <cp:lastPrinted>2016-02-22T16:24:00Z</cp:lastPrinted>
  <dcterms:created xsi:type="dcterms:W3CDTF">2017-11-23T13:08:00Z</dcterms:created>
  <dcterms:modified xsi:type="dcterms:W3CDTF">2025-10-07T17:56:00Z</dcterms:modified>
</cp:coreProperties>
</file>