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F81E5A" w:rsidRDefault="00216F0F" w:rsidP="00D918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96BD1" w:rsidRPr="00F81E5A" w:rsidRDefault="00D96BD1" w:rsidP="00E1645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F81E5A">
        <w:rPr>
          <w:rFonts w:ascii="Times New Roman" w:hAnsi="Times New Roman"/>
          <w:b/>
          <w:sz w:val="24"/>
          <w:szCs w:val="24"/>
        </w:rPr>
        <w:t>COMPLEMENTAR</w:t>
      </w:r>
      <w:r w:rsidR="00907FE8" w:rsidRPr="00F81E5A">
        <w:rPr>
          <w:rFonts w:ascii="Times New Roman" w:hAnsi="Times New Roman"/>
          <w:b/>
          <w:sz w:val="24"/>
          <w:szCs w:val="24"/>
        </w:rPr>
        <w:t xml:space="preserve"> Nº </w:t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907FE8" w:rsidRPr="00F81E5A">
        <w:rPr>
          <w:rFonts w:ascii="Times New Roman" w:hAnsi="Times New Roman"/>
          <w:b/>
          <w:sz w:val="24"/>
          <w:szCs w:val="24"/>
        </w:rPr>
        <w:softHyphen/>
      </w:r>
      <w:r w:rsidR="00F81E5A" w:rsidRPr="00F81E5A">
        <w:rPr>
          <w:rFonts w:ascii="Times New Roman" w:hAnsi="Times New Roman"/>
          <w:b/>
          <w:sz w:val="24"/>
          <w:szCs w:val="24"/>
        </w:rPr>
        <w:t>7</w:t>
      </w:r>
      <w:r w:rsidR="00E1645C">
        <w:rPr>
          <w:rFonts w:ascii="Times New Roman" w:hAnsi="Times New Roman"/>
          <w:b/>
          <w:sz w:val="24"/>
          <w:szCs w:val="24"/>
        </w:rPr>
        <w:t>3</w:t>
      </w:r>
      <w:r w:rsidR="00A050BE" w:rsidRPr="00F81E5A">
        <w:rPr>
          <w:rFonts w:ascii="Times New Roman" w:hAnsi="Times New Roman"/>
          <w:b/>
          <w:sz w:val="24"/>
          <w:szCs w:val="24"/>
        </w:rPr>
        <w:t xml:space="preserve"> </w:t>
      </w:r>
      <w:r w:rsidR="00907FE8" w:rsidRPr="00F81E5A">
        <w:rPr>
          <w:rFonts w:ascii="Times New Roman" w:hAnsi="Times New Roman"/>
          <w:b/>
          <w:sz w:val="24"/>
          <w:szCs w:val="24"/>
        </w:rPr>
        <w:t xml:space="preserve">DE </w:t>
      </w:r>
      <w:r w:rsidR="005C5C44" w:rsidRPr="00F81E5A">
        <w:rPr>
          <w:rFonts w:ascii="Times New Roman" w:hAnsi="Times New Roman"/>
          <w:b/>
          <w:sz w:val="24"/>
          <w:szCs w:val="24"/>
        </w:rPr>
        <w:t>0</w:t>
      </w:r>
      <w:r w:rsidR="00E1645C">
        <w:rPr>
          <w:rFonts w:ascii="Times New Roman" w:hAnsi="Times New Roman"/>
          <w:b/>
          <w:sz w:val="24"/>
          <w:szCs w:val="24"/>
        </w:rPr>
        <w:t>7</w:t>
      </w:r>
      <w:r w:rsidR="00793D16" w:rsidRPr="00F81E5A">
        <w:rPr>
          <w:rFonts w:ascii="Times New Roman" w:hAnsi="Times New Roman"/>
          <w:b/>
          <w:sz w:val="24"/>
          <w:szCs w:val="24"/>
        </w:rPr>
        <w:t xml:space="preserve"> DE </w:t>
      </w:r>
      <w:r w:rsidR="005C5C44" w:rsidRPr="00F81E5A">
        <w:rPr>
          <w:rFonts w:ascii="Times New Roman" w:hAnsi="Times New Roman"/>
          <w:b/>
          <w:sz w:val="24"/>
          <w:szCs w:val="24"/>
        </w:rPr>
        <w:t>OUTRUBRO</w:t>
      </w:r>
      <w:r w:rsidR="00793D16" w:rsidRPr="00F81E5A">
        <w:rPr>
          <w:rFonts w:ascii="Times New Roman" w:hAnsi="Times New Roman"/>
          <w:b/>
          <w:sz w:val="24"/>
          <w:szCs w:val="24"/>
        </w:rPr>
        <w:t xml:space="preserve"> DE 2025</w:t>
      </w:r>
      <w:r w:rsidR="00907FE8" w:rsidRPr="00F81E5A">
        <w:rPr>
          <w:rFonts w:ascii="Times New Roman" w:hAnsi="Times New Roman"/>
          <w:b/>
          <w:sz w:val="24"/>
          <w:szCs w:val="24"/>
        </w:rPr>
        <w:t>.</w:t>
      </w:r>
    </w:p>
    <w:p w:rsidR="00D96BD1" w:rsidRPr="00F81E5A" w:rsidRDefault="00D96BD1" w:rsidP="00D918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F81E5A" w:rsidRDefault="00D96BD1" w:rsidP="00D918FA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F81E5A" w:rsidRDefault="00216F0F" w:rsidP="00F81E5A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</w:rPr>
        <w:t>REFORMULA A LEI COMPLEMENTAR Nº 45/2018 INSTITUI A COBRANÇA DE TAXA DE SERVIÇOS SOBRE AS ATIVIDADES DE LICENCIAMENTO E FISCALIZAÇÃO AMBIENTAL NO ÂMBITO DO MUNICÍPIO DE FIGUIRÓPOLIS D’OESTE E DÁ OUTRAS PROVIDÊNCIAS.</w:t>
      </w:r>
    </w:p>
    <w:p w:rsidR="00F81E5A" w:rsidRPr="00F81E5A" w:rsidRDefault="00F81E5A" w:rsidP="00F81E5A">
      <w:pPr>
        <w:spacing w:after="0" w:line="36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16F0F" w:rsidRPr="00F81E5A" w:rsidRDefault="00F81E5A" w:rsidP="00F81E5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</w:rPr>
        <w:t>Taxa de Controle e Fiscalização Ambiental TCFA</w:t>
      </w:r>
    </w:p>
    <w:p w:rsidR="00F81E5A" w:rsidRPr="00F81E5A" w:rsidRDefault="00F81E5A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F81E5A" w:rsidRDefault="00D96BD1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O</w:t>
      </w:r>
      <w:r w:rsidR="00216F0F" w:rsidRPr="00F81E5A">
        <w:rPr>
          <w:rFonts w:ascii="Times New Roman" w:hAnsi="Times New Roman"/>
          <w:sz w:val="24"/>
          <w:szCs w:val="24"/>
        </w:rPr>
        <w:t xml:space="preserve"> </w:t>
      </w:r>
      <w:r w:rsidRPr="00F81E5A">
        <w:rPr>
          <w:rFonts w:ascii="Times New Roman" w:hAnsi="Times New Roman"/>
          <w:sz w:val="24"/>
          <w:szCs w:val="24"/>
        </w:rPr>
        <w:t xml:space="preserve">Excelentíssimo Senhor, </w:t>
      </w:r>
      <w:r w:rsidR="00D90184" w:rsidRPr="00F81E5A">
        <w:rPr>
          <w:rFonts w:ascii="Times New Roman" w:hAnsi="Times New Roman"/>
          <w:sz w:val="24"/>
          <w:szCs w:val="24"/>
        </w:rPr>
        <w:t>ADEMIR FELÍCIO GARCIA</w:t>
      </w:r>
      <w:r w:rsidRPr="00F81E5A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F81E5A">
        <w:rPr>
          <w:rFonts w:ascii="Times New Roman" w:hAnsi="Times New Roman"/>
          <w:sz w:val="24"/>
          <w:szCs w:val="24"/>
        </w:rPr>
        <w:t>Figueiróp</w:t>
      </w:r>
      <w:r w:rsidR="00216F0F" w:rsidRPr="00F81E5A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F81E5A">
        <w:rPr>
          <w:rFonts w:ascii="Times New Roman" w:hAnsi="Times New Roman"/>
          <w:sz w:val="24"/>
          <w:szCs w:val="24"/>
        </w:rPr>
        <w:t xml:space="preserve"> d</w:t>
      </w:r>
      <w:r w:rsidRPr="00F81E5A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F81E5A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F81E5A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F81E5A">
        <w:rPr>
          <w:rFonts w:ascii="Times New Roman" w:hAnsi="Times New Roman"/>
          <w:sz w:val="24"/>
          <w:szCs w:val="24"/>
        </w:rPr>
        <w:t xml:space="preserve"> d</w:t>
      </w:r>
      <w:r w:rsidRPr="00F81E5A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5C5C44" w:rsidRPr="00F81E5A" w:rsidRDefault="005C5C44" w:rsidP="00D918FA">
      <w:pPr>
        <w:pStyle w:val="Default"/>
        <w:spacing w:before="100" w:after="100"/>
        <w:jc w:val="both"/>
        <w:rPr>
          <w:b/>
          <w:bCs/>
          <w:color w:val="auto"/>
        </w:rPr>
      </w:pPr>
    </w:p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 TAXA DE LICENCIAMENTO AMBIENTAL</w:t>
      </w:r>
    </w:p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Seção I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Disposições Gerais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lei, em conformidade com o Código Municipal de Meio Ambiente, define os procedimentos de lançamento e cobrança das taxas decorrentes da prestação de serviço público e/ou exercício regular do poder de polícia em face aos atos administrativos praticados visando à de autorização e licenças ambientais de empreendimentos e atividades utilizadoras de recursos ambientais, consideradas efetiva ou potencialmente poluidoras ou daquelas que, sob qualquer forma, possam causar degradação ambiental.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2º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Fica instituída a Taxa de Controle e Fiscalização Ambiental – TCFA no âmbito do Município de </w:t>
      </w:r>
      <w:proofErr w:type="spell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Figueirópolis</w:t>
      </w:r>
      <w:proofErr w:type="spell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D’Oeste no Estado de Mato Grosso –MT.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lastRenderedPageBreak/>
        <w:t>Art. 3º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Taxa de Controle e Fiscalização Ambiental – TCFA tem como fato gerador a utilização da prestação de serviço público e/ou exercício regular do poder de polícia em face aos atos administrativos praticados visando a autorização e licenças ambientais de empreendimentos e atividades utilizadoras de recursos ambientais, consideradas efetiva ou potencialmente poluidoras ou daquelas que, sob qualquer forma, possam causar degradação ambiental.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Parágrafo único: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receita realizada em decorrência do disposto no </w:t>
      </w:r>
      <w:r w:rsidRPr="00F81E5A">
        <w:rPr>
          <w:rFonts w:ascii="Times New Roman" w:hAnsi="Times New Roman"/>
          <w:i/>
          <w:iCs/>
          <w:color w:val="000000"/>
          <w:sz w:val="24"/>
          <w:szCs w:val="24"/>
          <w:lang w:eastAsia="pt-BR"/>
        </w:rPr>
        <w:t xml:space="preserve">caput 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constituirá o Fundo Municipal do Meio Ambiente - FMMA e será destinada para fazer frente às despesas de custeio e investimentos necessários à execução da Política Municipal de Gestão e Proteção Ambiental. </w:t>
      </w:r>
    </w:p>
    <w:p w:rsid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4º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Contribuinte é a pessoa natural ou jurídica que exerça as atividades elencadas como sujeitas ao licenciamento e controle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ambiental constantes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do Anexo Único da Resolução CONSEMA nº 41/2021 ou outra que vier a sucede-la, e ainda outras atividades autorizadas pelo Órgão Estadual do Meio Ambiente.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ind w:left="993" w:hanging="993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Seção II</w:t>
      </w:r>
    </w:p>
    <w:p w:rsid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 Lançamento, Cobrança e Arrecadação da Taxa</w:t>
      </w:r>
    </w:p>
    <w:p w:rsidR="00F81E5A" w:rsidRP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5º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Taxa de Controle e Fiscalização Ambiental – TCFA terá por base de cálculo o valor da Unidade Padrão Fiscal de Mato Grosso – UPF/MT e demais critérios e parâmetros definidos nos Anexos da presente norma e será convertida pelo padrão monetário vigente à época da ocorrência do fato gerador, sendo devida </w:t>
      </w:r>
      <w:r w:rsidRPr="00F81E5A">
        <w:rPr>
          <w:rFonts w:ascii="Times New Roman" w:hAnsi="Times New Roman"/>
          <w:sz w:val="24"/>
          <w:szCs w:val="24"/>
        </w:rPr>
        <w:t>no ato de protocolo do devido processo administrativo de licenciamento ambiental municipal.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>§ 1º.</w:t>
      </w:r>
      <w:r w:rsidRPr="00F81E5A">
        <w:t xml:space="preserve"> Para lançamento e cobrança das taxas referentes às atividades não integrantes do Anexo III, será utilizada a classificação genérica resultante da conjugação do porte do empreendimento e potencial de poluição ambiental descritos nos Anexos I e II, observado a atividade, parâmetros e nível de poluição constante do Anexo Único da Resolução CONSEMA nº 41/2021, ou outra que vier a substitui-la.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>§ 2º.</w:t>
      </w:r>
      <w:r w:rsidRPr="00F81E5A">
        <w:t xml:space="preserve"> Os empreendimentos serão classificados em função do parâmetro de avaliação que estabeleça o maior porte tomando-se por referência as informações contidas no Anexo I.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 xml:space="preserve">§ 3º. </w:t>
      </w:r>
      <w:r w:rsidRPr="00F81E5A">
        <w:t xml:space="preserve">Nas atividades elencadas no Anexo III da presente Lei, a taxa devida será calculada pelo órgão ambiental licenciador, de acordo com a fórmula de cálculo apresentada no citado Anexo, sendo o valor obtido multiplicado pelo fator de correção de 0,50 (cinquenta </w:t>
      </w:r>
      <w:r w:rsidRPr="00F81E5A">
        <w:lastRenderedPageBreak/>
        <w:t>centésimos) em se tratando da Licença Prévia - LP; de 0,75 (setenta e cinco centésimos) para a Licença de Instalação; de 0,65 (sessenta centésimos) para a Licença de Operação; e de 0,60 (sessenta centésimos) para Licença Simplificada.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 xml:space="preserve">§ 4º. </w:t>
      </w:r>
      <w:r w:rsidRPr="00F81E5A">
        <w:t>Para as atividades elencadas nos itens 2.1 e 2.2 do Anexo III da presente Lei, as taxas a serem cobradas se limitarão ao valor total de 100 (cem) UPF/MT, sendo este limite distribuído da seguinte forma: 25% (vinte e cinco por cento) para Licença Prévia; 40%(quarenta por cento) para Licença de Instalação e 35% (trinta e cinco por cento) para Licença de Operação, calculados proporcionalmente ao Total Calculado.</w:t>
      </w:r>
    </w:p>
    <w:p w:rsidR="00F81E5A" w:rsidRPr="00F81E5A" w:rsidRDefault="00F81E5A" w:rsidP="00F81E5A">
      <w:pPr>
        <w:autoSpaceDE w:val="0"/>
        <w:autoSpaceDN w:val="0"/>
        <w:adjustRightInd w:val="0"/>
        <w:ind w:firstLine="993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§ 5º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Para as atividades elencadas nos itens 2.4 e 4.1.2 do Anexo III da presente Lei, as taxas a serem cobradas se limitarão ao valor total de 70 (setenta) UPF/MT, 25% (vinte e cinco por cento) para Licença Prévia; 40%(quarenta por cento) para Licença de Instalação e 35% (trinta e cinco por cento) para Licença de Operação, calculados proporcionalmente ao Total Calculado.</w:t>
      </w:r>
    </w:p>
    <w:p w:rsidR="00F81E5A" w:rsidRPr="00F81E5A" w:rsidRDefault="00F81E5A" w:rsidP="00F81E5A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  <w:rPr>
          <w:color w:val="auto"/>
        </w:rPr>
      </w:pPr>
      <w:r w:rsidRPr="00F81E5A">
        <w:rPr>
          <w:b/>
          <w:color w:val="auto"/>
        </w:rPr>
        <w:t>§ 6º.</w:t>
      </w:r>
      <w:r w:rsidRPr="00F81E5A">
        <w:rPr>
          <w:color w:val="auto"/>
        </w:rPr>
        <w:t xml:space="preserve"> Para as atividades de classificação específica ou não, quando requerida a Licença de Operação nos casos em que o empreendimento já está em operação, o valor da taxa será a somatória da Taxa Licença de Instalação (LI) somada à Taxa de Licença de Operação (LO).</w:t>
      </w:r>
    </w:p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spacing w:after="160"/>
        <w:ind w:left="0" w:firstLine="993"/>
        <w:contextualSpacing w:val="0"/>
        <w:rPr>
          <w:rFonts w:ascii="Times New Roman" w:hAnsi="Times New Roman" w:cs="Times New Roman"/>
          <w:sz w:val="24"/>
          <w:szCs w:val="24"/>
        </w:rPr>
      </w:pPr>
      <w:r w:rsidRPr="00F81E5A">
        <w:rPr>
          <w:rFonts w:ascii="Times New Roman" w:hAnsi="Times New Roman" w:cs="Times New Roman"/>
          <w:b/>
          <w:sz w:val="24"/>
          <w:szCs w:val="24"/>
        </w:rPr>
        <w:t xml:space="preserve">§ 7º. </w:t>
      </w:r>
      <w:r w:rsidRPr="00F81E5A">
        <w:rPr>
          <w:rFonts w:ascii="Times New Roman" w:hAnsi="Times New Roman" w:cs="Times New Roman"/>
          <w:sz w:val="24"/>
          <w:szCs w:val="24"/>
        </w:rPr>
        <w:t>Para definição do valor da Taxa de Licenciamento Especial (LE) e valor da Taxa de Autorização Ambiental (AA), a critério da análise técnica, será considerado o porte do evento, empreendimento ou atividade, conjugado com o potencial poluidor ou degradador do meio ambiente, em função das características intrínsecas da atividade/evento, acrescentado o serviço de vistoria técnica quando necessário, conforme coeficientes definidos no Anexo IV desta norma.</w:t>
      </w:r>
    </w:p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spacing w:after="160"/>
        <w:ind w:left="0" w:firstLine="993"/>
        <w:contextualSpacing w:val="0"/>
        <w:rPr>
          <w:rFonts w:ascii="Times New Roman" w:hAnsi="Times New Roman" w:cs="Times New Roman"/>
          <w:sz w:val="24"/>
          <w:szCs w:val="24"/>
        </w:rPr>
      </w:pPr>
      <w:r w:rsidRPr="00F81E5A">
        <w:rPr>
          <w:rFonts w:ascii="Times New Roman" w:hAnsi="Times New Roman" w:cs="Times New Roman"/>
          <w:b/>
          <w:bCs/>
          <w:sz w:val="24"/>
          <w:szCs w:val="24"/>
        </w:rPr>
        <w:t xml:space="preserve">§ 8º. </w:t>
      </w:r>
      <w:r w:rsidRPr="00F81E5A">
        <w:rPr>
          <w:rFonts w:ascii="Times New Roman" w:hAnsi="Times New Roman" w:cs="Times New Roman"/>
          <w:sz w:val="24"/>
          <w:szCs w:val="24"/>
        </w:rPr>
        <w:t>Quando no empreendimento a ser licenciado, forem desenvolvidas mais de uma atividade passível de licenciamento, em que seja emitida uma única licença, será emitida a taxa considerando a somatória da área e a atividade com maior nível de poluição/degradação.</w:t>
      </w:r>
    </w:p>
    <w:p w:rsidR="00F81E5A" w:rsidRPr="00F81E5A" w:rsidRDefault="00F81E5A" w:rsidP="00F81E5A">
      <w:pPr>
        <w:tabs>
          <w:tab w:val="left" w:pos="1985"/>
        </w:tabs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6º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</w:t>
      </w:r>
      <w:r w:rsidRPr="00F81E5A">
        <w:rPr>
          <w:rFonts w:ascii="Times New Roman" w:hAnsi="Times New Roman"/>
          <w:sz w:val="24"/>
          <w:szCs w:val="24"/>
        </w:rPr>
        <w:t>Nas hipóteses em que o prazo de validade da Licença de Operação LO seja superior a 03 (três) anos, o empreendedor deverá recolher, anualmente, 10% (dez por cento) do valor em UPF/MT da referida licença, a título de pagamento pelos serviços de fiscalização e monitoramento.</w:t>
      </w:r>
    </w:p>
    <w:p w:rsidR="00F81E5A" w:rsidRPr="00F81E5A" w:rsidRDefault="00F81E5A" w:rsidP="00F81E5A">
      <w:pPr>
        <w:pStyle w:val="Default"/>
        <w:tabs>
          <w:tab w:val="left" w:pos="1985"/>
        </w:tabs>
        <w:spacing w:after="160" w:line="276" w:lineRule="auto"/>
        <w:jc w:val="both"/>
        <w:rPr>
          <w:b/>
          <w:bCs/>
        </w:rPr>
      </w:pPr>
      <w:r w:rsidRPr="00F81E5A">
        <w:rPr>
          <w:b/>
        </w:rPr>
        <w:t>Art. 7º</w:t>
      </w:r>
      <w:r w:rsidRPr="00F81E5A">
        <w:t xml:space="preserve"> O Órgão Municipal de Meio Ambiente será responsável pelo lançamento e arrecadação da Taxa de Controle e Fiscalização Ambiental – TCFA.</w:t>
      </w:r>
    </w:p>
    <w:p w:rsidR="00F81E5A" w:rsidRDefault="00F81E5A" w:rsidP="00F81E5A">
      <w:pPr>
        <w:ind w:left="993" w:hanging="993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ind w:left="993" w:hanging="993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Seção III</w:t>
      </w:r>
    </w:p>
    <w:p w:rsid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Isenções e Descontos</w:t>
      </w:r>
    </w:p>
    <w:p w:rsidR="00F81E5A" w:rsidRP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8º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São isentos do pagamento da Taxa de Controle e Fiscalização Ambiental – TCFA: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os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órgãos e entidades da Administração Pública Federal, Estadual e Municipal, inclusive autarquias, fundações e os consórcios públicos de que é membro o Município;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entidades de assistência social sem fins lucrativos, reconhecidas pelo Poder Público Municipal, desde que: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a) não distribuam qualquer parcela de seu patrimônio ou de suas rendas, a título de lucro ou participação no seu resultado;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b) apliquem integralmente no País os recursos destinados à manutenção de seus objetivos institucionais;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c) mantenham escrituração de suas receitas e despesas em livros revestidos de formalidades capazes de assegurar sua exatidão;</w:t>
      </w:r>
    </w:p>
    <w:p w:rsidR="00F81E5A" w:rsidRPr="00F81E5A" w:rsidRDefault="00F81E5A" w:rsidP="00F81E5A">
      <w:pPr>
        <w:tabs>
          <w:tab w:val="left" w:pos="2127"/>
        </w:tabs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9º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Ficam isentos do pagamento das taxas referenciadas na presente norma: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o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credenciamento para atuação como preposto junto ao Órgão Municipal de Meio Ambiente, de profissionais liberais e/ou consultores técnicos legalmente habilitados para o exercício da atividade profissional;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atividades de aquicultura de pequeno porte, assim entendido aquele que explore até 05 (cinco) hectares de lâmina d'água em tanque escavado e represa ou até 1.000 (mil) m³ de água em tanque rede;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sz w:val="24"/>
          <w:szCs w:val="24"/>
          <w:lang w:eastAsia="pt-BR"/>
        </w:rPr>
      </w:pPr>
      <w:r w:rsidRPr="00F81E5A">
        <w:rPr>
          <w:rFonts w:ascii="Times New Roman" w:hAnsi="Times New Roman"/>
          <w:sz w:val="24"/>
          <w:szCs w:val="24"/>
          <w:shd w:val="clear" w:color="auto" w:fill="FFFFFF"/>
        </w:rPr>
        <w:t>III- os empreendimentos Agroindustrial Familiar de Pequeno Porte, conforme tabela de volume de transformação constante em norma Municipal.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IV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associações ou cooperativas de catadores de materiais recicláveis;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V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o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licenciamento ambiental para implantação de unidades de saúde da rede pública ou filantrópicas;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VI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atividades ou empreendimentos que comprovarem a criação de Reserva Particular do Patrimônio Natural - RPPN na propriedade objeto do licenciamento, em percentual superior a 20% (vinte por cento) da área total, podendo incluir a área de reserva legal neste percentual.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firstLine="992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lastRenderedPageBreak/>
        <w:t xml:space="preserve">§ 1º.  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 isenção estabelecida por este artigo não isenta o empreendedor da observância das normas ambientais vigentes.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firstLine="992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§ 2º.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isenção estabelecida por este artigo incidirá também nos casos de ampliação, modificação ou revalidação, desde que fique demonstrada a continuidade da condição geradora.</w:t>
      </w:r>
    </w:p>
    <w:p w:rsidR="00F81E5A" w:rsidRPr="00F81E5A" w:rsidRDefault="00F81E5A" w:rsidP="00F81E5A">
      <w:pPr>
        <w:tabs>
          <w:tab w:val="left" w:pos="2127"/>
        </w:tabs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10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Nos casos de renovação de Licença de Operação - LO, a Taxa de Licenciamento Ambiental será lançada e cobrada aplicando-se o fator de redução de 30% trinta por cento) aos estabelecimentos e atividades que atendam pelo menos a um dos seguintes requisitos: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utilize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resíduos para reciclagem ou para geração de energia;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reaproveite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água utilizada;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III - disponha de certificação por órgão credenciado em qualidade ambiental;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IV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desenvolva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plano de gerenciamento de resíduos sólidos.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  <w:bCs/>
        </w:rPr>
        <w:t xml:space="preserve">§ 1º. </w:t>
      </w:r>
      <w:r w:rsidRPr="00F81E5A">
        <w:t xml:space="preserve">Os descontos não serão cumulativos.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firstLine="993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 xml:space="preserve">§ 2º. 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Relativamente ao disposto no </w:t>
      </w:r>
      <w:r w:rsidRPr="00F81E5A">
        <w:rPr>
          <w:rFonts w:ascii="Times New Roman" w:hAnsi="Times New Roman"/>
          <w:i/>
          <w:iCs/>
          <w:color w:val="000000"/>
          <w:sz w:val="24"/>
          <w:szCs w:val="24"/>
          <w:lang w:eastAsia="pt-BR"/>
        </w:rPr>
        <w:t>caput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, a comprovação de qualquer dos requisitos elencados será efetuada quando da realização de vistorias técnicas, cabendo ao empreendedor a manutenção da regularidade do aludido quesito, ensejando a emissão compulsória do lançamento da taxa residual ante a constatação de eventuais anomalias. </w:t>
      </w:r>
    </w:p>
    <w:p w:rsidR="00F81E5A" w:rsidRPr="00F81E5A" w:rsidRDefault="00F81E5A" w:rsidP="00F81E5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4"/>
          <w:szCs w:val="18"/>
        </w:rPr>
      </w:pPr>
      <w:r w:rsidRPr="00F81E5A">
        <w:rPr>
          <w:rFonts w:ascii="Times New Roman" w:hAnsi="Times New Roman"/>
          <w:b/>
          <w:sz w:val="24"/>
          <w:szCs w:val="18"/>
        </w:rPr>
        <w:t>Art. 11</w:t>
      </w:r>
      <w:r w:rsidRPr="00F81E5A">
        <w:rPr>
          <w:rFonts w:ascii="Times New Roman" w:hAnsi="Times New Roman"/>
          <w:sz w:val="24"/>
          <w:szCs w:val="18"/>
        </w:rPr>
        <w:t xml:space="preserve"> Fica assegurado o desconto de 40% (quarenta por cento) sobre a taxa de renovação de Licença Prévia (LP) e de Licença de Instalação (LI) atendido os seguintes requisitos:</w:t>
      </w:r>
    </w:p>
    <w:p w:rsidR="00F81E5A" w:rsidRPr="00F81E5A" w:rsidRDefault="00F81E5A" w:rsidP="00F81E5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36"/>
          <w:szCs w:val="24"/>
          <w:lang w:eastAsia="pt-BR"/>
        </w:rPr>
      </w:pPr>
      <w:r w:rsidRPr="00F81E5A">
        <w:rPr>
          <w:rFonts w:ascii="Times New Roman" w:hAnsi="Times New Roman"/>
          <w:sz w:val="24"/>
          <w:szCs w:val="18"/>
        </w:rPr>
        <w:t xml:space="preserve">I- </w:t>
      </w:r>
      <w:proofErr w:type="gramStart"/>
      <w:r w:rsidRPr="00F81E5A">
        <w:rPr>
          <w:rFonts w:ascii="Times New Roman" w:hAnsi="Times New Roman"/>
          <w:sz w:val="24"/>
          <w:szCs w:val="18"/>
        </w:rPr>
        <w:t>quando</w:t>
      </w:r>
      <w:proofErr w:type="gramEnd"/>
      <w:r w:rsidRPr="00F81E5A">
        <w:rPr>
          <w:rFonts w:ascii="Times New Roman" w:hAnsi="Times New Roman"/>
          <w:sz w:val="24"/>
          <w:szCs w:val="18"/>
        </w:rPr>
        <w:t xml:space="preserve"> o requerimento de renovação for realizado no mínimo 120 (cento e vinte) dias antes do vencimento da licença em vigor;</w:t>
      </w:r>
    </w:p>
    <w:p w:rsidR="00F81E5A" w:rsidRPr="00F81E5A" w:rsidRDefault="00F81E5A" w:rsidP="00F81E5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36"/>
          <w:szCs w:val="24"/>
          <w:lang w:eastAsia="pt-BR"/>
        </w:rPr>
      </w:pPr>
      <w:r w:rsidRPr="00F81E5A">
        <w:rPr>
          <w:rFonts w:ascii="Times New Roman" w:hAnsi="Times New Roman"/>
          <w:sz w:val="24"/>
          <w:szCs w:val="18"/>
        </w:rPr>
        <w:t xml:space="preserve">II- </w:t>
      </w:r>
      <w:proofErr w:type="gramStart"/>
      <w:r w:rsidRPr="00F81E5A">
        <w:rPr>
          <w:rFonts w:ascii="Times New Roman" w:hAnsi="Times New Roman"/>
          <w:sz w:val="24"/>
          <w:szCs w:val="18"/>
        </w:rPr>
        <w:t>comprovado</w:t>
      </w:r>
      <w:proofErr w:type="gramEnd"/>
      <w:r w:rsidRPr="00F81E5A">
        <w:rPr>
          <w:rFonts w:ascii="Times New Roman" w:hAnsi="Times New Roman"/>
          <w:sz w:val="24"/>
          <w:szCs w:val="18"/>
        </w:rPr>
        <w:t xml:space="preserve"> o atendimento de todas as condicionantes requeridas na emissão da licença.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sz w:val="24"/>
          <w:szCs w:val="24"/>
        </w:rPr>
        <w:t>Art. 12</w:t>
      </w:r>
      <w:r w:rsidRPr="00F81E5A">
        <w:rPr>
          <w:rFonts w:ascii="Times New Roman" w:hAnsi="Times New Roman"/>
          <w:sz w:val="24"/>
          <w:szCs w:val="24"/>
        </w:rPr>
        <w:t xml:space="preserve"> Fica </w:t>
      </w:r>
      <w:r w:rsidRPr="00F81E5A">
        <w:rPr>
          <w:rFonts w:ascii="Times New Roman" w:hAnsi="Times New Roman"/>
          <w:iCs/>
          <w:sz w:val="24"/>
          <w:szCs w:val="24"/>
        </w:rPr>
        <w:t>assegurado o desconto de 50% (cinquenta por cento) no pagamento da taxa de Licença Operacional (LO) aos empreendimentos que possuam como atividade principal os serviços de lavagem, lubrificação e polimento de veículos, popularmente denominados de lava-jato.</w:t>
      </w:r>
    </w:p>
    <w:p w:rsidR="00F81E5A" w:rsidRDefault="00F81E5A" w:rsidP="00F81E5A">
      <w:pPr>
        <w:autoSpaceDE w:val="0"/>
        <w:autoSpaceDN w:val="0"/>
        <w:adjustRightInd w:val="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Seção IV</w:t>
      </w:r>
    </w:p>
    <w:p w:rsidR="00F81E5A" w:rsidRDefault="00F81E5A" w:rsidP="00F81E5A">
      <w:pPr>
        <w:autoSpaceDE w:val="0"/>
        <w:autoSpaceDN w:val="0"/>
        <w:adjustRightInd w:val="0"/>
        <w:spacing w:after="16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Das Disposições Finais e Transitórias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sz w:val="24"/>
          <w:szCs w:val="24"/>
        </w:rPr>
        <w:lastRenderedPageBreak/>
        <w:t>Art. 13</w:t>
      </w:r>
      <w:r w:rsidRPr="00F81E5A">
        <w:rPr>
          <w:rFonts w:ascii="Times New Roman" w:hAnsi="Times New Roman"/>
          <w:sz w:val="24"/>
          <w:szCs w:val="24"/>
        </w:rPr>
        <w:t xml:space="preserve"> Para efetivação do protocolo de processos de licenciamento ambiental é indispensável </w:t>
      </w:r>
      <w:proofErr w:type="gramStart"/>
      <w:r w:rsidRPr="00F81E5A">
        <w:rPr>
          <w:rFonts w:ascii="Times New Roman" w:hAnsi="Times New Roman"/>
          <w:sz w:val="24"/>
          <w:szCs w:val="24"/>
        </w:rPr>
        <w:t>o pagamentos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 das respectivas taxas.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14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O </w:t>
      </w:r>
      <w:r w:rsidRPr="00F81E5A">
        <w:rPr>
          <w:rFonts w:ascii="Times New Roman" w:hAnsi="Times New Roman"/>
          <w:sz w:val="24"/>
          <w:szCs w:val="24"/>
        </w:rPr>
        <w:t>Órgão Municipal de Meio Ambiente expedirá regulamentos com as normas técnicas, padrões e critérios disciplinando o processo de licenciamento e fiscalização.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sz w:val="24"/>
          <w:szCs w:val="24"/>
        </w:rPr>
        <w:t>Art. 15</w:t>
      </w:r>
      <w:r w:rsidRPr="00F81E5A">
        <w:rPr>
          <w:rFonts w:ascii="Times New Roman" w:hAnsi="Times New Roman"/>
          <w:sz w:val="24"/>
          <w:szCs w:val="24"/>
        </w:rPr>
        <w:t xml:space="preserve"> Caso a verificação das condições ambientais da atividade ou empreendimento sujeito a regularização e licenciamento ambiental exigir, a qualquer tempo, a realização de amostragens, de análises laboratoriais ou a adoção de medidas emergenciais para prevenção ou controle de efeitos nocivos a pessoas, ao meio ambiente ou ao patrimônio público ou de terceiros, caberá ao empreendedor arcar com os respectivos custos.</w:t>
      </w:r>
    </w:p>
    <w:p w:rsidR="00F81E5A" w:rsidRPr="00F81E5A" w:rsidRDefault="00F81E5A" w:rsidP="00F81E5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16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Fica o Poder Executivo autorizado a conceder desconto de 30% (trinta por cento) do valor das taxas referenciadas nesta norma, ao empreendedor que buscar a regularização ambiental do estabelecimento e/ou atividade dentro do prazo de 360 (trezentos e sessenta) dias, contados, da publicação desta norma.</w:t>
      </w:r>
    </w:p>
    <w:p w:rsidR="00F81E5A" w:rsidRPr="00F81E5A" w:rsidRDefault="00F81E5A" w:rsidP="00F81E5A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Parágrafo único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– Os descontos não são acumulativos.</w:t>
      </w:r>
    </w:p>
    <w:p w:rsidR="00F81E5A" w:rsidRPr="00F81E5A" w:rsidRDefault="00F81E5A" w:rsidP="00F81E5A">
      <w:pPr>
        <w:autoSpaceDE w:val="0"/>
        <w:autoSpaceDN w:val="0"/>
        <w:adjustRightInd w:val="0"/>
        <w:ind w:left="1134"/>
        <w:rPr>
          <w:rFonts w:ascii="Times New Roman" w:hAnsi="Times New Roman"/>
          <w:color w:val="000000"/>
          <w:sz w:val="18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17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 entra em vigor 90 (noventa) dias da data de sua publicação, </w:t>
      </w:r>
      <w:r w:rsidRPr="00F81E5A">
        <w:rPr>
          <w:rFonts w:ascii="Times New Roman" w:hAnsi="Times New Roman"/>
          <w:sz w:val="24"/>
          <w:szCs w:val="24"/>
        </w:rPr>
        <w:t>revogadas as disposições em contrário, em especial a LEI COMPLEMENTAR Nº 45/2018.</w:t>
      </w:r>
    </w:p>
    <w:p w:rsidR="00F81E5A" w:rsidRPr="00F81E5A" w:rsidRDefault="00F81E5A" w:rsidP="00F81E5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F81E5A" w:rsidRDefault="00F81E5A" w:rsidP="00F81E5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F81E5A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="00E1645C">
        <w:rPr>
          <w:rFonts w:ascii="Times New Roman" w:eastAsia="Batang" w:hAnsi="Times New Roman"/>
          <w:sz w:val="24"/>
          <w:szCs w:val="24"/>
        </w:rPr>
        <w:t xml:space="preserve"> d’Oeste-MT, 07</w:t>
      </w:r>
      <w:bookmarkStart w:id="0" w:name="_GoBack"/>
      <w:bookmarkEnd w:id="0"/>
      <w:r w:rsidRPr="00F81E5A">
        <w:rPr>
          <w:rFonts w:ascii="Times New Roman" w:eastAsia="Batang" w:hAnsi="Times New Roman"/>
          <w:sz w:val="24"/>
          <w:szCs w:val="24"/>
        </w:rPr>
        <w:t xml:space="preserve"> de outubro de 2025.</w:t>
      </w: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F81E5A"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F81E5A" w:rsidRPr="00F81E5A" w:rsidRDefault="00F81E5A" w:rsidP="00F81E5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F81E5A">
        <w:rPr>
          <w:rFonts w:ascii="Times New Roman" w:eastAsia="Batang" w:hAnsi="Times New Roman"/>
          <w:b/>
          <w:sz w:val="24"/>
          <w:szCs w:val="24"/>
        </w:rPr>
        <w:t>Prefeito Municipal</w:t>
      </w: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F81E5A">
        <w:rPr>
          <w:rFonts w:ascii="Times New Roman" w:hAnsi="Times New Roman"/>
          <w:b/>
          <w:bCs/>
          <w:sz w:val="28"/>
          <w:szCs w:val="24"/>
        </w:rPr>
        <w:t>ANEXO I</w:t>
      </w: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81E5A">
        <w:rPr>
          <w:rFonts w:ascii="Times New Roman" w:hAnsi="Times New Roman"/>
          <w:b/>
          <w:bCs/>
          <w:sz w:val="24"/>
          <w:szCs w:val="24"/>
        </w:rPr>
        <w:t>CLASSIFICAÇÃO DOS EMPREENDIMENTOS SEGUNDO O PORTE</w:t>
      </w: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sz w:val="26"/>
          <w:szCs w:val="26"/>
        </w:rPr>
      </w:pPr>
      <w:r w:rsidRPr="00F81E5A">
        <w:rPr>
          <w:rFonts w:ascii="Times New Roman" w:hAnsi="Times New Roman"/>
          <w:sz w:val="26"/>
          <w:szCs w:val="26"/>
        </w:rPr>
        <w:t>(CLASSIFICAÇÃO GENÉRICA PARA ATIVIDADES NÃO ESPECÍFICAS)</w:t>
      </w:r>
    </w:p>
    <w:tbl>
      <w:tblPr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7"/>
        <w:gridCol w:w="3168"/>
        <w:gridCol w:w="3778"/>
      </w:tblGrid>
      <w:tr w:rsidR="00F81E5A" w:rsidRPr="00F81E5A" w:rsidTr="00386AFF">
        <w:trPr>
          <w:trHeight w:hRule="exact" w:val="312"/>
        </w:trPr>
        <w:tc>
          <w:tcPr>
            <w:tcW w:w="2557" w:type="dxa"/>
          </w:tcPr>
          <w:p w:rsidR="00F81E5A" w:rsidRPr="00F81E5A" w:rsidRDefault="00F81E5A" w:rsidP="00386AFF">
            <w:pPr>
              <w:spacing w:before="6"/>
              <w:ind w:left="74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Porte</w:t>
            </w:r>
            <w:r w:rsidRPr="00F81E5A">
              <w:rPr>
                <w:rFonts w:ascii="Times New Roman" w:eastAsia="Arial" w:hAnsi="Times New Roman"/>
                <w:b/>
                <w:spacing w:val="18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do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6"/>
              <w:ind w:left="40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Parâmetros</w:t>
            </w:r>
            <w:r w:rsidRPr="00F81E5A">
              <w:rPr>
                <w:rFonts w:ascii="Times New Roman" w:eastAsia="Arial" w:hAnsi="Times New Roman"/>
                <w:b/>
                <w:spacing w:val="38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de</w:t>
            </w:r>
            <w:r w:rsidRPr="00F81E5A">
              <w:rPr>
                <w:rFonts w:ascii="Times New Roman" w:eastAsia="Arial" w:hAnsi="Times New Roman"/>
                <w:b/>
                <w:spacing w:val="-3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pacing w:val="-4"/>
                <w:w w:val="103"/>
                <w:sz w:val="23"/>
                <w:szCs w:val="23"/>
              </w:rPr>
              <w:t>A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valiação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rPr>
                <w:rFonts w:ascii="Times New Roman" w:hAnsi="Times New Roman"/>
                <w:b/>
              </w:rPr>
            </w:pPr>
          </w:p>
        </w:tc>
      </w:tr>
      <w:tr w:rsidR="00F81E5A" w:rsidRPr="00F81E5A" w:rsidTr="00386AFF">
        <w:trPr>
          <w:trHeight w:hRule="exact" w:val="624"/>
        </w:trPr>
        <w:tc>
          <w:tcPr>
            <w:tcW w:w="2557" w:type="dxa"/>
          </w:tcPr>
          <w:p w:rsidR="00F81E5A" w:rsidRPr="00F81E5A" w:rsidRDefault="00F81E5A" w:rsidP="00386AFF">
            <w:pPr>
              <w:spacing w:line="220" w:lineRule="exact"/>
              <w:ind w:left="74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Empreendimento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0"/>
              <w:ind w:left="40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Área</w:t>
            </w:r>
            <w:r w:rsidRPr="00F81E5A">
              <w:rPr>
                <w:rFonts w:ascii="Times New Roman" w:eastAsia="Arial" w:hAnsi="Times New Roman"/>
                <w:b/>
                <w:spacing w:val="17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Construída/Útil</w:t>
            </w:r>
            <w:r w:rsidRPr="00F81E5A">
              <w:rPr>
                <w:rFonts w:ascii="Times New Roman" w:eastAsia="Arial" w:hAnsi="Times New Roman"/>
                <w:b/>
                <w:spacing w:val="48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(m²)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0"/>
              <w:ind w:left="487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Nº</w:t>
            </w:r>
            <w:r w:rsidRPr="00F81E5A">
              <w:rPr>
                <w:rFonts w:ascii="Times New Roman" w:eastAsia="Arial" w:hAnsi="Times New Roman"/>
                <w:b/>
                <w:spacing w:val="9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de</w:t>
            </w:r>
            <w:r w:rsidRPr="00F81E5A">
              <w:rPr>
                <w:rFonts w:ascii="Times New Roman" w:eastAsia="Arial" w:hAnsi="Times New Roman"/>
                <w:b/>
                <w:spacing w:val="10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pacing w:val="-13"/>
                <w:w w:val="103"/>
                <w:sz w:val="23"/>
                <w:szCs w:val="23"/>
              </w:rPr>
              <w:t>V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eículos</w:t>
            </w:r>
          </w:p>
          <w:p w:rsidR="00F81E5A" w:rsidRPr="00F81E5A" w:rsidRDefault="00F81E5A" w:rsidP="00386AFF">
            <w:pPr>
              <w:spacing w:before="3"/>
              <w:ind w:left="487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(Quando</w:t>
            </w:r>
            <w:r w:rsidRPr="00F81E5A">
              <w:rPr>
                <w:rFonts w:ascii="Times New Roman" w:eastAsia="Arial" w:hAnsi="Times New Roman"/>
                <w:b/>
                <w:spacing w:val="29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for</w:t>
            </w:r>
            <w:r w:rsidRPr="00F81E5A">
              <w:rPr>
                <w:rFonts w:ascii="Times New Roman" w:eastAsia="Arial" w:hAnsi="Times New Roman"/>
                <w:b/>
                <w:spacing w:val="6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pacing w:val="-9"/>
                <w:w w:val="103"/>
                <w:sz w:val="23"/>
                <w:szCs w:val="23"/>
              </w:rPr>
              <w:t>T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ransportadora)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P1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501</w:t>
            </w:r>
            <w:r w:rsidRPr="00F81E5A">
              <w:rPr>
                <w:rFonts w:ascii="Times New Roman" w:eastAsia="Arial" w:hAnsi="Times New Roman"/>
                <w:spacing w:val="11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3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P2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1.500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5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7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P3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1.501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2.000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8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M1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2.001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pacing w:val="-20"/>
                <w:sz w:val="26"/>
                <w:szCs w:val="26"/>
              </w:rPr>
              <w:t>1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20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M2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4.001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7.000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21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35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M3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7.001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36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50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G1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10.001</w:t>
            </w:r>
            <w:r w:rsidRPr="00F81E5A">
              <w:rPr>
                <w:rFonts w:ascii="Times New Roman" w:eastAsia="Arial" w:hAnsi="Times New Roman"/>
                <w:spacing w:val="1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20.000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51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67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G2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20.001</w:t>
            </w:r>
            <w:r w:rsidRPr="00F81E5A">
              <w:rPr>
                <w:rFonts w:ascii="Times New Roman" w:eastAsia="Arial" w:hAnsi="Times New Roman"/>
                <w:spacing w:val="1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30.000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68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81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G3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30.001</w:t>
            </w:r>
            <w:r w:rsidRPr="00F81E5A">
              <w:rPr>
                <w:rFonts w:ascii="Times New Roman" w:eastAsia="Arial" w:hAnsi="Times New Roman"/>
                <w:spacing w:val="1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82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Excepcional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Acima</w:t>
            </w:r>
            <w:r w:rsidRPr="00F81E5A">
              <w:rPr>
                <w:rFonts w:ascii="Times New Roman" w:eastAsia="Arial" w:hAnsi="Times New Roman"/>
                <w:spacing w:val="16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40.001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Acima</w:t>
            </w:r>
            <w:r w:rsidRPr="00F81E5A">
              <w:rPr>
                <w:rFonts w:ascii="Times New Roman" w:eastAsia="Arial" w:hAnsi="Times New Roman"/>
                <w:spacing w:val="16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100</w:t>
            </w:r>
          </w:p>
        </w:tc>
      </w:tr>
    </w:tbl>
    <w:p w:rsidR="00F81E5A" w:rsidRPr="00F81E5A" w:rsidRDefault="00F81E5A" w:rsidP="00F81E5A">
      <w:pPr>
        <w:tabs>
          <w:tab w:val="left" w:pos="2268"/>
        </w:tabs>
        <w:spacing w:after="120" w:line="240" w:lineRule="auto"/>
        <w:rPr>
          <w:rFonts w:ascii="Times New Roman" w:hAnsi="Times New Roman"/>
          <w:bCs/>
          <w:sz w:val="24"/>
          <w:szCs w:val="24"/>
        </w:rPr>
      </w:pP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rPr>
          <w:rFonts w:ascii="Times New Roman" w:hAnsi="Times New Roman"/>
          <w:bCs/>
          <w:sz w:val="24"/>
          <w:szCs w:val="24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P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w w:val="103"/>
          <w:sz w:val="28"/>
          <w:szCs w:val="26"/>
        </w:rPr>
      </w:pPr>
      <w:r w:rsidRPr="00F81E5A">
        <w:rPr>
          <w:rFonts w:ascii="Times New Roman" w:eastAsia="Arial" w:hAnsi="Times New Roman"/>
          <w:b/>
          <w:sz w:val="28"/>
          <w:szCs w:val="26"/>
        </w:rPr>
        <w:t>ANEXO</w:t>
      </w:r>
      <w:r w:rsidRPr="00F81E5A">
        <w:rPr>
          <w:rFonts w:ascii="Times New Roman" w:eastAsia="Arial" w:hAnsi="Times New Roman"/>
          <w:b/>
          <w:spacing w:val="20"/>
          <w:sz w:val="28"/>
          <w:szCs w:val="26"/>
        </w:rPr>
        <w:t xml:space="preserve"> </w:t>
      </w:r>
      <w:r w:rsidRPr="00F81E5A">
        <w:rPr>
          <w:rFonts w:ascii="Times New Roman" w:eastAsia="Arial" w:hAnsi="Times New Roman"/>
          <w:b/>
          <w:w w:val="103"/>
          <w:sz w:val="28"/>
          <w:szCs w:val="26"/>
        </w:rPr>
        <w:t>II</w:t>
      </w:r>
    </w:p>
    <w:p w:rsidR="00F81E5A" w:rsidRP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sz w:val="28"/>
          <w:szCs w:val="26"/>
        </w:rPr>
      </w:pPr>
    </w:p>
    <w:p w:rsidR="00F81E5A" w:rsidRPr="00F81E5A" w:rsidRDefault="00F81E5A" w:rsidP="00F81E5A">
      <w:pPr>
        <w:spacing w:before="13" w:line="250" w:lineRule="auto"/>
        <w:ind w:right="48"/>
        <w:jc w:val="center"/>
        <w:rPr>
          <w:rFonts w:ascii="Times New Roman" w:eastAsia="Arial" w:hAnsi="Times New Roman"/>
          <w:b/>
          <w:sz w:val="24"/>
          <w:szCs w:val="26"/>
        </w:rPr>
      </w:pPr>
      <w:r w:rsidRPr="00F81E5A">
        <w:rPr>
          <w:rFonts w:ascii="Times New Roman" w:eastAsia="Arial" w:hAnsi="Times New Roman"/>
          <w:sz w:val="24"/>
          <w:szCs w:val="26"/>
        </w:rPr>
        <w:t>UNIDADE</w:t>
      </w:r>
      <w:r w:rsidRPr="00F81E5A">
        <w:rPr>
          <w:rFonts w:ascii="Times New Roman" w:eastAsia="Arial" w:hAnsi="Times New Roman"/>
          <w:spacing w:val="25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z w:val="24"/>
          <w:szCs w:val="26"/>
        </w:rPr>
        <w:t>DE</w:t>
      </w:r>
      <w:r w:rsidRPr="00F81E5A">
        <w:rPr>
          <w:rFonts w:ascii="Times New Roman" w:eastAsia="Arial" w:hAnsi="Times New Roman"/>
          <w:spacing w:val="9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z w:val="24"/>
          <w:szCs w:val="26"/>
        </w:rPr>
        <w:t>REFERÊNCIA</w:t>
      </w:r>
      <w:r w:rsidRPr="00F81E5A">
        <w:rPr>
          <w:rFonts w:ascii="Times New Roman" w:eastAsia="Arial" w:hAnsi="Times New Roman"/>
          <w:spacing w:val="20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pacing w:val="-20"/>
          <w:sz w:val="24"/>
          <w:szCs w:val="26"/>
        </w:rPr>
        <w:t>P</w:t>
      </w:r>
      <w:r w:rsidRPr="00F81E5A">
        <w:rPr>
          <w:rFonts w:ascii="Times New Roman" w:eastAsia="Arial" w:hAnsi="Times New Roman"/>
          <w:sz w:val="24"/>
          <w:szCs w:val="26"/>
        </w:rPr>
        <w:t>ARA</w:t>
      </w:r>
      <w:r w:rsidRPr="00F81E5A">
        <w:rPr>
          <w:rFonts w:ascii="Times New Roman" w:eastAsia="Arial" w:hAnsi="Times New Roman"/>
          <w:spacing w:val="1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z w:val="24"/>
          <w:szCs w:val="26"/>
        </w:rPr>
        <w:t>COBRANÇA</w:t>
      </w:r>
      <w:r w:rsidRPr="00F81E5A">
        <w:rPr>
          <w:rFonts w:ascii="Times New Roman" w:eastAsia="Arial" w:hAnsi="Times New Roman"/>
          <w:spacing w:val="16"/>
          <w:sz w:val="24"/>
          <w:szCs w:val="26"/>
        </w:rPr>
        <w:t xml:space="preserve"> DA </w:t>
      </w:r>
      <w:r w:rsidRPr="00F81E5A">
        <w:rPr>
          <w:rFonts w:ascii="Times New Roman" w:eastAsia="Arial" w:hAnsi="Times New Roman"/>
          <w:sz w:val="24"/>
          <w:szCs w:val="26"/>
        </w:rPr>
        <w:t xml:space="preserve">TAXA DE CONTROLE E FISCALIZAÇÃO AMBIENTAL </w:t>
      </w:r>
      <w:r w:rsidRPr="00F81E5A">
        <w:rPr>
          <w:rFonts w:ascii="Times New Roman" w:eastAsia="Arial" w:hAnsi="Times New Roman"/>
          <w:b/>
          <w:sz w:val="24"/>
          <w:szCs w:val="26"/>
        </w:rPr>
        <w:t>TCFA</w:t>
      </w:r>
      <w:r w:rsidRPr="00F81E5A">
        <w:rPr>
          <w:rFonts w:ascii="Times New Roman" w:eastAsia="Arial" w:hAnsi="Times New Roman"/>
          <w:sz w:val="24"/>
          <w:szCs w:val="26"/>
        </w:rPr>
        <w:t xml:space="preserve"> -</w:t>
      </w:r>
      <w:r w:rsidRPr="00F81E5A">
        <w:rPr>
          <w:rFonts w:ascii="Times New Roman" w:eastAsia="Arial" w:hAnsi="Times New Roman"/>
          <w:spacing w:val="4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w w:val="102"/>
          <w:sz w:val="24"/>
          <w:szCs w:val="26"/>
        </w:rPr>
        <w:t xml:space="preserve">EM </w:t>
      </w:r>
      <w:r w:rsidRPr="00F81E5A">
        <w:rPr>
          <w:rFonts w:ascii="Times New Roman" w:eastAsia="Arial" w:hAnsi="Times New Roman"/>
          <w:b/>
          <w:w w:val="102"/>
          <w:sz w:val="24"/>
          <w:szCs w:val="26"/>
        </w:rPr>
        <w:t>UPF/MT</w:t>
      </w:r>
    </w:p>
    <w:p w:rsidR="00F81E5A" w:rsidRPr="00F81E5A" w:rsidRDefault="00F81E5A" w:rsidP="00F81E5A">
      <w:pPr>
        <w:spacing w:before="120"/>
        <w:ind w:left="505"/>
        <w:jc w:val="center"/>
        <w:rPr>
          <w:rFonts w:ascii="Times New Roman" w:eastAsia="Arial" w:hAnsi="Times New Roman"/>
          <w:szCs w:val="26"/>
        </w:rPr>
      </w:pPr>
      <w:r w:rsidRPr="00F81E5A">
        <w:rPr>
          <w:rFonts w:ascii="Times New Roman" w:eastAsia="Arial" w:hAnsi="Times New Roman"/>
          <w:szCs w:val="26"/>
        </w:rPr>
        <w:t>(CLASSIFICAÇÃO</w:t>
      </w:r>
      <w:r w:rsidRPr="00F81E5A">
        <w:rPr>
          <w:rFonts w:ascii="Times New Roman" w:eastAsia="Arial" w:hAnsi="Times New Roman"/>
          <w:spacing w:val="45"/>
          <w:szCs w:val="26"/>
        </w:rPr>
        <w:t xml:space="preserve"> </w:t>
      </w:r>
      <w:r w:rsidRPr="00F81E5A">
        <w:rPr>
          <w:rFonts w:ascii="Times New Roman" w:eastAsia="Arial" w:hAnsi="Times New Roman"/>
          <w:szCs w:val="26"/>
        </w:rPr>
        <w:t>GENÉRICA</w:t>
      </w:r>
      <w:r w:rsidRPr="00F81E5A">
        <w:rPr>
          <w:rFonts w:ascii="Times New Roman" w:eastAsia="Arial" w:hAnsi="Times New Roman"/>
          <w:spacing w:val="14"/>
          <w:szCs w:val="26"/>
        </w:rPr>
        <w:t xml:space="preserve"> </w:t>
      </w:r>
      <w:r w:rsidRPr="00F81E5A">
        <w:rPr>
          <w:rFonts w:ascii="Times New Roman" w:eastAsia="Arial" w:hAnsi="Times New Roman"/>
          <w:spacing w:val="-20"/>
          <w:szCs w:val="26"/>
        </w:rPr>
        <w:t>P</w:t>
      </w:r>
      <w:r w:rsidRPr="00F81E5A">
        <w:rPr>
          <w:rFonts w:ascii="Times New Roman" w:eastAsia="Arial" w:hAnsi="Times New Roman"/>
          <w:szCs w:val="26"/>
        </w:rPr>
        <w:t>ARA</w:t>
      </w:r>
      <w:r w:rsidRPr="00F81E5A">
        <w:rPr>
          <w:rFonts w:ascii="Times New Roman" w:eastAsia="Arial" w:hAnsi="Times New Roman"/>
          <w:spacing w:val="-13"/>
          <w:szCs w:val="26"/>
        </w:rPr>
        <w:t xml:space="preserve"> </w:t>
      </w:r>
      <w:r w:rsidRPr="00F81E5A">
        <w:rPr>
          <w:rFonts w:ascii="Times New Roman" w:eastAsia="Arial" w:hAnsi="Times New Roman"/>
          <w:spacing w:val="-20"/>
          <w:szCs w:val="26"/>
        </w:rPr>
        <w:t>A</w:t>
      </w:r>
      <w:r w:rsidRPr="00F81E5A">
        <w:rPr>
          <w:rFonts w:ascii="Times New Roman" w:eastAsia="Arial" w:hAnsi="Times New Roman"/>
          <w:szCs w:val="26"/>
        </w:rPr>
        <w:t>TIVIDADES</w:t>
      </w:r>
      <w:r w:rsidRPr="00F81E5A">
        <w:rPr>
          <w:rFonts w:ascii="Times New Roman" w:eastAsia="Arial" w:hAnsi="Times New Roman"/>
          <w:spacing w:val="33"/>
          <w:szCs w:val="26"/>
        </w:rPr>
        <w:t xml:space="preserve"> </w:t>
      </w:r>
      <w:r w:rsidRPr="00F81E5A">
        <w:rPr>
          <w:rFonts w:ascii="Times New Roman" w:eastAsia="Arial" w:hAnsi="Times New Roman"/>
          <w:szCs w:val="26"/>
        </w:rPr>
        <w:t>NÃO</w:t>
      </w:r>
      <w:r w:rsidRPr="00F81E5A">
        <w:rPr>
          <w:rFonts w:ascii="Times New Roman" w:eastAsia="Arial" w:hAnsi="Times New Roman"/>
          <w:spacing w:val="13"/>
          <w:szCs w:val="26"/>
        </w:rPr>
        <w:t xml:space="preserve"> </w:t>
      </w:r>
      <w:r w:rsidRPr="00F81E5A">
        <w:rPr>
          <w:rFonts w:ascii="Times New Roman" w:eastAsia="Arial" w:hAnsi="Times New Roman"/>
          <w:w w:val="102"/>
          <w:szCs w:val="26"/>
        </w:rPr>
        <w:t>ESPECÍFICAS)</w:t>
      </w:r>
    </w:p>
    <w:tbl>
      <w:tblPr>
        <w:tblW w:w="100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F81E5A" w:rsidRPr="00F81E5A" w:rsidTr="00386AFF">
        <w:trPr>
          <w:trHeight w:val="450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Porte do Empreendimento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MÍNIMO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P1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P2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P3</w:t>
            </w:r>
          </w:p>
        </w:tc>
      </w:tr>
      <w:tr w:rsidR="00F81E5A" w:rsidRPr="00F81E5A" w:rsidTr="00386AFF">
        <w:trPr>
          <w:trHeight w:val="765"/>
        </w:trPr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Nível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Poluição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e/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ou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Degradação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</w:tr>
      <w:tr w:rsidR="00F81E5A" w:rsidRPr="00F81E5A" w:rsidTr="00386AFF">
        <w:trPr>
          <w:trHeight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Prévia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(LP)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</w:tr>
      <w:tr w:rsidR="00F81E5A" w:rsidRPr="00F81E5A" w:rsidTr="00386AFF">
        <w:trPr>
          <w:trHeight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Instalação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(LI)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</w:tr>
      <w:tr w:rsidR="00F81E5A" w:rsidRPr="00F81E5A" w:rsidTr="00386AFF">
        <w:trPr>
          <w:trHeight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Operação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(LO)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</w:tr>
      <w:tr w:rsidR="00F81E5A" w:rsidRPr="00F81E5A" w:rsidTr="00386AFF">
        <w:trPr>
          <w:trHeight w:hRule="exact"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Simplificada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(LAS)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</w:tr>
    </w:tbl>
    <w:p w:rsidR="00F81E5A" w:rsidRPr="00F81E5A" w:rsidRDefault="00F81E5A" w:rsidP="00F81E5A">
      <w:pPr>
        <w:pStyle w:val="Default"/>
      </w:pPr>
    </w:p>
    <w:tbl>
      <w:tblPr>
        <w:tblW w:w="100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F81E5A" w:rsidRPr="00F81E5A" w:rsidTr="00386AFF">
        <w:trPr>
          <w:trHeight w:val="510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Porte do Empreendimento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M1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M2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M3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G1</w:t>
            </w:r>
          </w:p>
        </w:tc>
      </w:tr>
      <w:tr w:rsidR="00F81E5A" w:rsidRPr="00F81E5A" w:rsidTr="00386AFF">
        <w:trPr>
          <w:trHeight w:val="690"/>
        </w:trPr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Nível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Poluição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e/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ou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Degradação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Prévia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(LP)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49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Instalação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(LI)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100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Operação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(LO)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51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Simplificada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(LAS)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</w:tr>
    </w:tbl>
    <w:p w:rsidR="00F81E5A" w:rsidRPr="00F81E5A" w:rsidRDefault="00F81E5A" w:rsidP="00F81E5A">
      <w:pPr>
        <w:pStyle w:val="Default"/>
      </w:pPr>
    </w:p>
    <w:tbl>
      <w:tblPr>
        <w:tblW w:w="8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F81E5A" w:rsidRPr="00F81E5A" w:rsidTr="00386AFF">
        <w:trPr>
          <w:trHeight w:val="555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Porte do Empreendimento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G2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G3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Excepcional</w:t>
            </w:r>
          </w:p>
        </w:tc>
      </w:tr>
      <w:tr w:rsidR="00F81E5A" w:rsidRPr="00F81E5A" w:rsidTr="00386AFF">
        <w:trPr>
          <w:trHeight w:hRule="exact" w:val="675"/>
        </w:trPr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Nível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Poluição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e/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ou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Degradação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lastRenderedPageBreak/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Prévia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(LP)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97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Instalação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(LI)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148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204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Operação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(LO)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104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Simplificada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(LAS)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</w:tr>
    </w:tbl>
    <w:p w:rsidR="00F81E5A" w:rsidRPr="00F81E5A" w:rsidRDefault="00F81E5A" w:rsidP="00F81E5A">
      <w:pPr>
        <w:pStyle w:val="Default"/>
      </w:pPr>
    </w:p>
    <w:p w:rsidR="00F81E5A" w:rsidRPr="00F81E5A" w:rsidRDefault="00F81E5A" w:rsidP="00F81E5A">
      <w:pPr>
        <w:pStyle w:val="Default"/>
      </w:pPr>
      <w:r w:rsidRPr="00F81E5A">
        <w:t>Notas:</w:t>
      </w:r>
    </w:p>
    <w:p w:rsidR="00F81E5A" w:rsidRPr="00F81E5A" w:rsidRDefault="00F81E5A" w:rsidP="00F81E5A">
      <w:pPr>
        <w:pStyle w:val="Default"/>
        <w:numPr>
          <w:ilvl w:val="0"/>
          <w:numId w:val="6"/>
        </w:numPr>
        <w:jc w:val="both"/>
      </w:pPr>
      <w:r w:rsidRPr="00F81E5A">
        <w:t>O potencial poluidor/degradador da atividade é considerado baixo (B), médio (M) ou alto (A), em função das características intrínsecas da atividade, conforme a listagem do Anexo Único da Resolução CONSEMA nº 41/2021, ou outra que vier a substitui-la. (§1º do Artigo 5º)</w:t>
      </w:r>
    </w:p>
    <w:p w:rsidR="00F81E5A" w:rsidRPr="00F81E5A" w:rsidRDefault="00F81E5A" w:rsidP="00F81E5A">
      <w:pPr>
        <w:pStyle w:val="Default"/>
      </w:pPr>
      <w:r w:rsidRPr="00F81E5A">
        <w:t xml:space="preserve"> </w:t>
      </w:r>
    </w:p>
    <w:p w:rsidR="00F81E5A" w:rsidRPr="00F81E5A" w:rsidRDefault="00F81E5A" w:rsidP="00F81E5A">
      <w:pPr>
        <w:pStyle w:val="PargrafodaLista"/>
        <w:numPr>
          <w:ilvl w:val="0"/>
          <w:numId w:val="6"/>
        </w:numPr>
        <w:suppressAutoHyphens w:val="0"/>
        <w:autoSpaceDE w:val="0"/>
        <w:autoSpaceDN w:val="0"/>
        <w:adjustRightInd w:val="0"/>
        <w:spacing w:line="240" w:lineRule="auto"/>
        <w:contextualSpacing w:val="0"/>
        <w:rPr>
          <w:rFonts w:ascii="Times New Roman" w:hAnsi="Times New Roman" w:cs="Times New Roman"/>
        </w:rPr>
      </w:pPr>
      <w:r w:rsidRPr="00F81E5A">
        <w:rPr>
          <w:rFonts w:ascii="Times New Roman" w:eastAsia="Arial,Bold" w:hAnsi="Times New Roman" w:cs="Times New Roman"/>
        </w:rPr>
        <w:t>Considera-se área útil, a área total usada pelo empreendimento, incluindo-se a área construída e a não construída, porém com utilização (por exemplo: pátio de estocagem, depósito, energia, garagem, curral, etc.).</w:t>
      </w:r>
    </w:p>
    <w:p w:rsidR="00F81E5A" w:rsidRPr="00F81E5A" w:rsidRDefault="00F81E5A" w:rsidP="00F81E5A">
      <w:pPr>
        <w:pStyle w:val="PargrafodaLista"/>
        <w:rPr>
          <w:rFonts w:ascii="Times New Roman" w:hAnsi="Times New Roman" w:cs="Times New Roman"/>
        </w:rPr>
      </w:pPr>
    </w:p>
    <w:p w:rsidR="00F81E5A" w:rsidRPr="00F81E5A" w:rsidRDefault="00F81E5A" w:rsidP="00F81E5A">
      <w:pPr>
        <w:pStyle w:val="PargrafodaLista"/>
        <w:numPr>
          <w:ilvl w:val="0"/>
          <w:numId w:val="6"/>
        </w:numPr>
        <w:suppressAutoHyphens w:val="0"/>
        <w:autoSpaceDE w:val="0"/>
        <w:autoSpaceDN w:val="0"/>
        <w:adjustRightInd w:val="0"/>
        <w:spacing w:line="240" w:lineRule="auto"/>
        <w:contextualSpacing w:val="0"/>
        <w:rPr>
          <w:rFonts w:ascii="Times New Roman" w:hAnsi="Times New Roman" w:cs="Times New Roman"/>
        </w:rPr>
      </w:pPr>
      <w:r w:rsidRPr="00F81E5A">
        <w:rPr>
          <w:rFonts w:ascii="Times New Roman" w:hAnsi="Times New Roman" w:cs="Times New Roman"/>
        </w:rPr>
        <w:t>Licença Ambiental Simplificada (LAS): licença que avalia de forma simplificada a localização, autoriza a instalação e a operação de atividade ou empreendimento, aprova as ações de controle e monitoramento ambiental e estabelece condicionantes ambientais para a sua instalação e operação, na forma do regulamento.</w:t>
      </w:r>
    </w:p>
    <w:p w:rsidR="00F81E5A" w:rsidRP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bCs/>
          <w:sz w:val="28"/>
          <w:szCs w:val="24"/>
        </w:rPr>
      </w:pPr>
      <w:r w:rsidRPr="00F81E5A">
        <w:rPr>
          <w:rFonts w:ascii="Times New Roman" w:hAnsi="Times New Roman"/>
          <w:b/>
          <w:bCs/>
          <w:sz w:val="28"/>
          <w:szCs w:val="24"/>
        </w:rPr>
        <w:t>ANEXO III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CLASSIFICAÇÕES ESPECÍFICAS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Deverão ser aplicadas as seguintes metodologias de cálculo dos valores cobrados pela prestação de serviços de licenciamento, cadastro, regularização ambiental e autorizações, independente do potencial poluidor, para atividades classificadas como: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1) Atividades Minerais;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2) Atividades Agropecuárias;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3) Atividades Florestais;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4) Atividades de Aquicultura;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5) Atividades de Infraestrutura;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6) Atividades de Indústria;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7) Atividades de Resíduos Sólidos;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1) Atividades Minerais: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1.1 - Na pesquisa mineral com ou sem Guia de Utilização, o cálculo do preço para análise do pedido de Licença de Operação na fase de pesquisa (LO - Pesquisa) será feito de acordo com a área útil abrangida e/ou impactada pelas atividades de pesquisa. Deverá estar explícita a área útil no formulário de requerimento padrão. O preço da licença será calculado pela seguinte fórmula: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12,0 </w:t>
      </w:r>
      <w:proofErr w:type="gramStart"/>
      <w:r w:rsidRPr="00F81E5A">
        <w:rPr>
          <w:rFonts w:ascii="Times New Roman" w:hAnsi="Times New Roman"/>
          <w:sz w:val="24"/>
          <w:szCs w:val="24"/>
        </w:rPr>
        <w:t>+(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3,0 x </w:t>
      </w:r>
      <w:proofErr w:type="spellStart"/>
      <w:r w:rsidRPr="00F81E5A">
        <w:rPr>
          <w:rFonts w:ascii="Times New Roman" w:hAnsi="Times New Roman"/>
          <w:sz w:val="24"/>
          <w:szCs w:val="24"/>
        </w:rPr>
        <w:t>AreqSEMA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AreqSEMA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área utilizada.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spacing w:after="120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1.2 - Nas atividades de extração e beneficiamento de bens minerais de quaisquer espécies, e qualquer tipo de direito minerário, os custos para emissão das licenças ambientais serão calculados de acordo com a área utilizada em hectares, informada no requerimento padrão, ficando estabelecido o limite máximo de 200 (duzentos) hectares para efeito de cálculo de taxa. Sendo assim, o custo para emissão de cada uma das licenças ambientais (LP, LI, LO, LOPM e LOP) será calculado pela seguinte fórmula: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</w:t>
      </w:r>
      <w:proofErr w:type="gramStart"/>
      <w:r w:rsidRPr="00F81E5A">
        <w:rPr>
          <w:rFonts w:ascii="Times New Roman" w:hAnsi="Times New Roman"/>
          <w:sz w:val="24"/>
          <w:szCs w:val="24"/>
        </w:rPr>
        <w:t>MT)=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7,5 + (0,25X </w:t>
      </w:r>
      <w:proofErr w:type="spellStart"/>
      <w:r w:rsidRPr="00F81E5A">
        <w:rPr>
          <w:rFonts w:ascii="Times New Roman" w:hAnsi="Times New Roman"/>
          <w:sz w:val="24"/>
          <w:szCs w:val="24"/>
        </w:rPr>
        <w:t>Autil</w:t>
      </w:r>
      <w:proofErr w:type="spellEnd"/>
      <w:r w:rsidRPr="00F81E5A">
        <w:rPr>
          <w:rFonts w:ascii="Times New Roman" w:hAnsi="Times New Roman"/>
          <w:sz w:val="24"/>
          <w:szCs w:val="24"/>
        </w:rPr>
        <w:t>);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>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Autil</w:t>
      </w:r>
      <w:proofErr w:type="spellEnd"/>
      <w:r w:rsidRPr="00F81E5A">
        <w:rPr>
          <w:rFonts w:ascii="Times New Roman" w:hAnsi="Times New Roman"/>
          <w:sz w:val="24"/>
          <w:szCs w:val="24"/>
        </w:rPr>
        <w:t>= área utilizada no licenciamento em hectares.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spacing w:after="120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2) Atividades Agropecuárias: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2.1 - Bovinocultura: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2.1.1 - Criação de animais confinados de grande porte (bovinos e bubalinos) e equinos e avestruz: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2,5 + 0,0045 x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cabeças.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2.2 - Suinocultura: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2.2.1 - Unidades de Produção de Leitão (UPL):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matrizes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2.2.2 - Granja de Suínos - Ciclo Completo: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matrizes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2.2.3 - Granja de Suínos - Terminação: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+ 0,002 x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cabeças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2.3 - Avicultura: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2.3.1 - Avicultura de Corte: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+ 0,00003 x NC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cabeças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2.3.2 - Granja para produção de ovos: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+ 0,00005 x NM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  <w:r w:rsidRPr="00F81E5A">
        <w:rPr>
          <w:rFonts w:ascii="Times New Roman" w:hAnsi="Times New Roman"/>
          <w:sz w:val="24"/>
          <w:szCs w:val="24"/>
        </w:rPr>
        <w:t>= número de matrizes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2.4 - Projeto Agrícola Irrigado: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3,0 + (0,02 x </w:t>
      </w:r>
      <w:proofErr w:type="spellStart"/>
      <w:r w:rsidRPr="00F81E5A">
        <w:rPr>
          <w:rFonts w:ascii="Times New Roman" w:hAnsi="Times New Roman"/>
          <w:sz w:val="24"/>
          <w:szCs w:val="24"/>
        </w:rPr>
        <w:t>Airrg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Airrg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área irrigada (hectare).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3) Atividades Florestais: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 Queima Controlada: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3.1.1 Autorização de Queima Controlada: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3.1.1.1. Imóveis de até 4 módulos fiscais: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0,5 + (0,01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 = área requerida (em hectare).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3.1.1.2 Imóveis acima de 4 módulos fiscais: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 + (0,01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 = área requerida (em hectare).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3.1.2 - Renovação de Autorização de Queima Controlada: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1,0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4) Aquicultura: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4.1 - Aquicultura: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4.1.1 - Aquicultura Tanque Rede: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>(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UPF/MT) = 3 + (0,0007 x Volume </w:t>
      </w:r>
      <w:proofErr w:type="spellStart"/>
      <w:r w:rsidRPr="00F81E5A">
        <w:rPr>
          <w:rFonts w:ascii="Times New Roman" w:hAnsi="Times New Roman"/>
          <w:sz w:val="24"/>
          <w:szCs w:val="24"/>
        </w:rPr>
        <w:t>Utiliz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em M³)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Volume </w:t>
      </w:r>
      <w:proofErr w:type="spellStart"/>
      <w:r w:rsidRPr="00F81E5A">
        <w:rPr>
          <w:rFonts w:ascii="Times New Roman" w:hAnsi="Times New Roman"/>
          <w:sz w:val="24"/>
          <w:szCs w:val="24"/>
        </w:rPr>
        <w:t>Utiliz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F81E5A">
        <w:rPr>
          <w:rFonts w:ascii="Times New Roman" w:hAnsi="Times New Roman"/>
          <w:sz w:val="24"/>
          <w:szCs w:val="24"/>
        </w:rPr>
        <w:t>em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 M³.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4.1.2 - Aquicultura em Geral: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>(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UPF/MT) = 3 + (0,12 x </w:t>
      </w:r>
      <w:proofErr w:type="spellStart"/>
      <w:r w:rsidRPr="00F81E5A">
        <w:rPr>
          <w:rFonts w:ascii="Times New Roman" w:hAnsi="Times New Roman"/>
          <w:sz w:val="24"/>
          <w:szCs w:val="24"/>
        </w:rPr>
        <w:t>Aútil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Aútil</w:t>
      </w:r>
      <w:proofErr w:type="spellEnd"/>
      <w:r w:rsidRPr="00F81E5A">
        <w:rPr>
          <w:rFonts w:ascii="Times New Roman" w:hAnsi="Times New Roman"/>
          <w:sz w:val="24"/>
          <w:szCs w:val="24"/>
        </w:rPr>
        <w:t>= área útil em (hectares).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5) Atividades de Infraestrutura: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5.1 - Condomínios, edifícios residenciais, conjuntos habitacionais e centros comerciais: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12,0 + (At + Nº </w:t>
      </w:r>
      <w:proofErr w:type="spellStart"/>
      <w:proofErr w:type="gramStart"/>
      <w:r w:rsidRPr="00F81E5A">
        <w:rPr>
          <w:rFonts w:ascii="Times New Roman" w:hAnsi="Times New Roman"/>
          <w:sz w:val="24"/>
          <w:szCs w:val="24"/>
        </w:rPr>
        <w:t>unid</w:t>
      </w:r>
      <w:proofErr w:type="spellEnd"/>
      <w:r w:rsidRPr="00F81E5A">
        <w:rPr>
          <w:rFonts w:ascii="Times New Roman" w:hAnsi="Times New Roman"/>
          <w:sz w:val="24"/>
          <w:szCs w:val="24"/>
        </w:rPr>
        <w:t>)/</w:t>
      </w:r>
      <w:proofErr w:type="gramEnd"/>
      <w:r w:rsidRPr="00F81E5A">
        <w:rPr>
          <w:rFonts w:ascii="Times New Roman" w:hAnsi="Times New Roman"/>
          <w:sz w:val="24"/>
          <w:szCs w:val="24"/>
        </w:rPr>
        <w:t>3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 At = área total do terreno em hectare;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Nº </w:t>
      </w:r>
      <w:proofErr w:type="spellStart"/>
      <w:r w:rsidRPr="00F81E5A">
        <w:rPr>
          <w:rFonts w:ascii="Times New Roman" w:hAnsi="Times New Roman"/>
          <w:sz w:val="24"/>
          <w:szCs w:val="24"/>
        </w:rPr>
        <w:t>unid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unidades.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5.2 - Loteamentos para fins residenciais, comerciais, distritos industriais e zonas industriais, inclusive loteamentos rurais e sítios de lazer: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10,0 + (0,5 x At)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 At = área total a ser loteada em hectare.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6) Atividades de Indústria: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6.1 - Indústrias de álcool e açúcar: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(20,0 + (0,0005 x </w:t>
      </w:r>
      <w:proofErr w:type="gramStart"/>
      <w:r w:rsidRPr="00F81E5A">
        <w:rPr>
          <w:rFonts w:ascii="Times New Roman" w:hAnsi="Times New Roman"/>
          <w:sz w:val="24"/>
          <w:szCs w:val="24"/>
        </w:rPr>
        <w:t>CM)/</w:t>
      </w:r>
      <w:proofErr w:type="gramEnd"/>
      <w:r w:rsidRPr="00F81E5A">
        <w:rPr>
          <w:rFonts w:ascii="Times New Roman" w:hAnsi="Times New Roman"/>
          <w:sz w:val="24"/>
          <w:szCs w:val="24"/>
        </w:rPr>
        <w:t>5).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 CM = capacidade de moagem instalada em toneladas/ano.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7) Atividades de Resíduos Sólidos: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7.1 - </w:t>
      </w:r>
      <w:proofErr w:type="gramStart"/>
      <w:r w:rsidRPr="00F81E5A">
        <w:rPr>
          <w:rFonts w:ascii="Times New Roman" w:hAnsi="Times New Roman"/>
          <w:sz w:val="24"/>
          <w:szCs w:val="24"/>
        </w:rPr>
        <w:t>Triagem, reciclagem e/ou destinação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 final de resíduos de construção civil e resíduos volumosos: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3 + (1 x </w:t>
      </w:r>
      <w:proofErr w:type="spellStart"/>
      <w:r w:rsidRPr="00F81E5A">
        <w:rPr>
          <w:rFonts w:ascii="Times New Roman" w:hAnsi="Times New Roman"/>
          <w:sz w:val="24"/>
          <w:szCs w:val="24"/>
        </w:rPr>
        <w:t>Aútil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*A = Área Útil (ha);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*C = capacidade (toneladas/dia).</w:t>
      </w: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8"/>
          <w:szCs w:val="24"/>
        </w:rPr>
      </w:pPr>
      <w:r w:rsidRPr="00F81E5A">
        <w:rPr>
          <w:rFonts w:ascii="Times New Roman" w:hAnsi="Times New Roman"/>
          <w:b/>
          <w:sz w:val="28"/>
          <w:szCs w:val="24"/>
        </w:rPr>
        <w:t>ANEXO IV</w:t>
      </w:r>
    </w:p>
    <w:p w:rsidR="00F81E5A" w:rsidRPr="00F81E5A" w:rsidRDefault="00F81E5A" w:rsidP="00F81E5A">
      <w:pPr>
        <w:jc w:val="center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(Art. 5º - § 7º)</w:t>
      </w:r>
    </w:p>
    <w:p w:rsidR="00F81E5A" w:rsidRPr="00F81E5A" w:rsidRDefault="00F81E5A" w:rsidP="00F81E5A">
      <w:pPr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A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Licenciamento Especial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120"/>
        <w:rPr>
          <w:rStyle w:val="font011"/>
          <w:rFonts w:ascii="Times New Roman" w:hAnsi="Times New Roman"/>
          <w:sz w:val="24"/>
          <w:szCs w:val="22"/>
        </w:rPr>
      </w:pPr>
      <w:r w:rsidRPr="00F81E5A">
        <w:rPr>
          <w:rStyle w:val="font011"/>
          <w:rFonts w:ascii="Times New Roman" w:hAnsi="Times New Roman"/>
          <w:b/>
          <w:sz w:val="24"/>
          <w:szCs w:val="22"/>
        </w:rPr>
        <w:t>Licenciamento Especial (LE):</w:t>
      </w:r>
      <w:r w:rsidRPr="00F81E5A">
        <w:rPr>
          <w:rStyle w:val="font011"/>
          <w:rFonts w:ascii="Times New Roman" w:hAnsi="Times New Roman"/>
          <w:sz w:val="24"/>
          <w:szCs w:val="22"/>
        </w:rPr>
        <w:t xml:space="preserve"> destina-se a permitir a ocorrência de Eventos Especiais assim considerados: a utilização de explosivos na construção civil, festejos populares, serviços de coleta e transporte de resíduos sólidos e líquidos industriais, colocação de veículos de propaganda e/ou publicidade, entre outros eventos temporários desde que dispensados de Licenciamento Ambiental.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8"/>
        <w:gridCol w:w="2174"/>
      </w:tblGrid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8"/>
              </w:rPr>
            </w:pPr>
            <w:r w:rsidRPr="00F81E5A">
              <w:rPr>
                <w:b/>
              </w:rPr>
              <w:t>Potencial Poluidor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 w:val="28"/>
              </w:rPr>
            </w:pPr>
            <w:r w:rsidRPr="00F81E5A">
              <w:rPr>
                <w:b/>
                <w:sz w:val="20"/>
                <w:szCs w:val="20"/>
              </w:rPr>
              <w:t>UPF/MT</w:t>
            </w:r>
          </w:p>
        </w:tc>
      </w:tr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14"/>
              <w:rPr>
                <w:szCs w:val="22"/>
              </w:rPr>
            </w:pPr>
            <w:r w:rsidRPr="00F81E5A">
              <w:rPr>
                <w:szCs w:val="22"/>
              </w:rPr>
              <w:t>B: Baixo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0,5</w:t>
            </w:r>
          </w:p>
        </w:tc>
      </w:tr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14"/>
              <w:rPr>
                <w:szCs w:val="22"/>
              </w:rPr>
            </w:pPr>
            <w:r w:rsidRPr="00F81E5A">
              <w:rPr>
                <w:szCs w:val="22"/>
              </w:rPr>
              <w:t>M: Médio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1</w:t>
            </w:r>
          </w:p>
        </w:tc>
      </w:tr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14"/>
              <w:rPr>
                <w:szCs w:val="22"/>
              </w:rPr>
            </w:pPr>
            <w:r w:rsidRPr="00F81E5A">
              <w:rPr>
                <w:szCs w:val="22"/>
              </w:rPr>
              <w:t>A: Alto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3</w:t>
            </w:r>
          </w:p>
        </w:tc>
      </w:tr>
    </w:tbl>
    <w:p w:rsidR="00F81E5A" w:rsidRPr="00F81E5A" w:rsidRDefault="00F81E5A" w:rsidP="00F81E5A">
      <w:pPr>
        <w:pStyle w:val="Default"/>
        <w:ind w:left="993"/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126"/>
      </w:tblGrid>
      <w:tr w:rsidR="00F81E5A" w:rsidRPr="00F81E5A" w:rsidTr="00386AFF">
        <w:trPr>
          <w:jc w:val="center"/>
        </w:trPr>
        <w:tc>
          <w:tcPr>
            <w:tcW w:w="4360" w:type="dxa"/>
            <w:gridSpan w:val="2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8"/>
              </w:rPr>
            </w:pPr>
            <w:r w:rsidRPr="00F81E5A">
              <w:rPr>
                <w:b/>
              </w:rPr>
              <w:t>Porte do Evento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2"/>
              </w:rPr>
            </w:pPr>
            <w:r w:rsidRPr="00F81E5A">
              <w:rPr>
                <w:b/>
                <w:sz w:val="22"/>
              </w:rPr>
              <w:t>Unidade de Medida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2"/>
              </w:rPr>
            </w:pPr>
            <w:r w:rsidRPr="00F81E5A">
              <w:rPr>
                <w:b/>
                <w:sz w:val="22"/>
              </w:rPr>
              <w:t>Coeficiente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M2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0,0012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Público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0,001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M3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0,02</w:t>
            </w:r>
          </w:p>
        </w:tc>
      </w:tr>
    </w:tbl>
    <w:p w:rsidR="00F81E5A" w:rsidRPr="00F81E5A" w:rsidRDefault="00F81E5A" w:rsidP="00F81E5A">
      <w:pPr>
        <w:pStyle w:val="Default"/>
        <w:ind w:left="993"/>
        <w:rPr>
          <w:color w:val="auto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9"/>
      </w:tblGrid>
      <w:tr w:rsidR="00F81E5A" w:rsidRPr="00F81E5A" w:rsidTr="00386AFF">
        <w:trPr>
          <w:jc w:val="center"/>
        </w:trPr>
        <w:tc>
          <w:tcPr>
            <w:tcW w:w="5919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 w:val="28"/>
              </w:rPr>
            </w:pPr>
            <w:r w:rsidRPr="00F81E5A">
              <w:rPr>
                <w:b/>
                <w:color w:val="auto"/>
              </w:rPr>
              <w:t>LE (UPF/MT)</w:t>
            </w:r>
            <w:r w:rsidRPr="00F81E5A">
              <w:rPr>
                <w:color w:val="auto"/>
              </w:rPr>
              <w:t xml:space="preserve"> </w:t>
            </w:r>
            <w:r w:rsidRPr="00F81E5A">
              <w:rPr>
                <w:bCs/>
              </w:rPr>
              <w:t xml:space="preserve">= </w:t>
            </w:r>
            <w:r w:rsidRPr="00F81E5A">
              <w:t xml:space="preserve">[PP + (UM x </w:t>
            </w:r>
            <w:proofErr w:type="gramStart"/>
            <w:r w:rsidRPr="00F81E5A">
              <w:t>Coeficiente)]</w:t>
            </w:r>
            <w:proofErr w:type="gramEnd"/>
          </w:p>
          <w:p w:rsidR="00F81E5A" w:rsidRPr="00F81E5A" w:rsidRDefault="00F81E5A" w:rsidP="00386AFF">
            <w:pPr>
              <w:pStyle w:val="Default"/>
              <w:jc w:val="center"/>
            </w:pPr>
            <w:proofErr w:type="gramStart"/>
            <w:r w:rsidRPr="00F81E5A">
              <w:rPr>
                <w:color w:val="auto"/>
              </w:rPr>
              <w:t>+</w:t>
            </w:r>
            <w:proofErr w:type="gramEnd"/>
            <w:r w:rsidRPr="00F81E5A">
              <w:rPr>
                <w:color w:val="auto"/>
              </w:rPr>
              <w:t xml:space="preserve"> Taxa de Vistoria Técnica </w:t>
            </w:r>
            <w:r w:rsidRPr="00F81E5A">
              <w:rPr>
                <w:i/>
                <w:color w:val="auto"/>
                <w:sz w:val="20"/>
              </w:rPr>
              <w:t>(quando necessário)</w:t>
            </w:r>
          </w:p>
        </w:tc>
      </w:tr>
    </w:tbl>
    <w:p w:rsidR="00F81E5A" w:rsidRPr="00F81E5A" w:rsidRDefault="00F81E5A" w:rsidP="00F81E5A">
      <w:pPr>
        <w:pStyle w:val="Default"/>
        <w:tabs>
          <w:tab w:val="left" w:pos="0"/>
        </w:tabs>
        <w:jc w:val="center"/>
        <w:rPr>
          <w:sz w:val="20"/>
        </w:rPr>
      </w:pPr>
      <w:r w:rsidRPr="00F81E5A">
        <w:rPr>
          <w:sz w:val="20"/>
        </w:rPr>
        <w:t>Legenda: PP (Potencial Poluidor) – UM (Unidade de Medida)</w:t>
      </w:r>
    </w:p>
    <w:p w:rsidR="00F81E5A" w:rsidRPr="00F81E5A" w:rsidRDefault="00F81E5A" w:rsidP="00F81E5A">
      <w:pPr>
        <w:pStyle w:val="Default"/>
        <w:ind w:left="993"/>
      </w:pPr>
    </w:p>
    <w:p w:rsidR="00F81E5A" w:rsidRPr="00F81E5A" w:rsidRDefault="00F81E5A" w:rsidP="00F81E5A">
      <w:pPr>
        <w:pStyle w:val="Default"/>
        <w:ind w:left="993"/>
        <w:jc w:val="center"/>
        <w:rPr>
          <w:sz w:val="20"/>
          <w:szCs w:val="20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B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Autorização Ambiental</w:t>
      </w:r>
    </w:p>
    <w:p w:rsidR="00F81E5A" w:rsidRPr="00F81E5A" w:rsidRDefault="00F81E5A" w:rsidP="00F81E5A">
      <w:pPr>
        <w:rPr>
          <w:rFonts w:ascii="Times New Roman" w:hAnsi="Times New Roman"/>
          <w:sz w:val="27"/>
          <w:szCs w:val="27"/>
        </w:rPr>
      </w:pPr>
    </w:p>
    <w:p w:rsidR="00F81E5A" w:rsidRPr="00F81E5A" w:rsidRDefault="00F81E5A" w:rsidP="00F81E5A">
      <w:pPr>
        <w:spacing w:after="120"/>
        <w:rPr>
          <w:rStyle w:val="font011"/>
          <w:rFonts w:ascii="Times New Roman" w:hAnsi="Times New Roman"/>
          <w:sz w:val="24"/>
          <w:szCs w:val="24"/>
        </w:rPr>
      </w:pPr>
      <w:r w:rsidRPr="00F81E5A">
        <w:rPr>
          <w:rStyle w:val="font011"/>
          <w:rFonts w:ascii="Times New Roman" w:hAnsi="Times New Roman"/>
          <w:b/>
          <w:sz w:val="24"/>
          <w:szCs w:val="24"/>
        </w:rPr>
        <w:lastRenderedPageBreak/>
        <w:t>Autorização Ambiental (AA):</w:t>
      </w:r>
      <w:r w:rsidRPr="00F81E5A">
        <w:rPr>
          <w:rStyle w:val="font011"/>
          <w:rFonts w:ascii="Times New Roman" w:hAnsi="Times New Roman"/>
          <w:sz w:val="24"/>
          <w:szCs w:val="24"/>
        </w:rPr>
        <w:t xml:space="preserve"> será concedida, na forma do regulamento, estabelecendo as condições de realização ou operação de empreendimentos, atividades, cortes de árvores, pesquisas e serviços de caráter temporário ou para execução de obras que não caracterizem instalações permanentes. Caso o empreendimento, atividade, pesquisa, serviço ou obra de caráter temporário, passe a configurar situação permanente, será exigido o licenciamento ambiental correspondente, em substituição à Autorização Ambiental expedida, que poderá ser cassada a qualquer tempo.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3"/>
        <w:gridCol w:w="1575"/>
      </w:tblGrid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Potencial Poluidor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rPr>
                <w:b/>
              </w:rPr>
              <w:t>UPF/MT</w:t>
            </w:r>
          </w:p>
        </w:tc>
      </w:tr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69"/>
            </w:pPr>
            <w:r w:rsidRPr="00F81E5A">
              <w:t>B: Baixo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0,5</w:t>
            </w:r>
          </w:p>
        </w:tc>
      </w:tr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69"/>
            </w:pPr>
            <w:r w:rsidRPr="00F81E5A">
              <w:t>M: Médio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1</w:t>
            </w:r>
          </w:p>
        </w:tc>
      </w:tr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69"/>
            </w:pPr>
            <w:r w:rsidRPr="00F81E5A">
              <w:t>A: Alto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2</w:t>
            </w:r>
          </w:p>
        </w:tc>
      </w:tr>
    </w:tbl>
    <w:p w:rsidR="00F81E5A" w:rsidRPr="00F81E5A" w:rsidRDefault="00F81E5A" w:rsidP="00F81E5A">
      <w:pPr>
        <w:pStyle w:val="Default"/>
        <w:ind w:left="993"/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4"/>
        <w:gridCol w:w="1566"/>
      </w:tblGrid>
      <w:tr w:rsidR="00F81E5A" w:rsidRPr="00F81E5A" w:rsidTr="00386AFF">
        <w:trPr>
          <w:jc w:val="center"/>
        </w:trPr>
        <w:tc>
          <w:tcPr>
            <w:tcW w:w="4360" w:type="dxa"/>
            <w:gridSpan w:val="2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Porte do Evento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Unidade de Medida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Coeficiente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M2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0,0012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Hectares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1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M3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0,002</w:t>
            </w:r>
          </w:p>
        </w:tc>
      </w:tr>
    </w:tbl>
    <w:p w:rsidR="00F81E5A" w:rsidRPr="00F81E5A" w:rsidRDefault="00F81E5A" w:rsidP="00F81E5A">
      <w:pPr>
        <w:pStyle w:val="Default"/>
        <w:ind w:left="993"/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2"/>
      </w:tblGrid>
      <w:tr w:rsidR="00F81E5A" w:rsidRPr="00F81E5A" w:rsidTr="00386AFF">
        <w:trPr>
          <w:jc w:val="center"/>
        </w:trPr>
        <w:tc>
          <w:tcPr>
            <w:tcW w:w="5842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spacing w:line="276" w:lineRule="auto"/>
              <w:jc w:val="center"/>
            </w:pPr>
            <w:r w:rsidRPr="00F81E5A">
              <w:rPr>
                <w:b/>
                <w:color w:val="auto"/>
              </w:rPr>
              <w:t>AA (UPF/MT)</w:t>
            </w:r>
            <w:r w:rsidRPr="00F81E5A">
              <w:rPr>
                <w:color w:val="auto"/>
              </w:rPr>
              <w:t xml:space="preserve"> </w:t>
            </w:r>
            <w:r w:rsidRPr="00F81E5A">
              <w:rPr>
                <w:bCs/>
              </w:rPr>
              <w:t xml:space="preserve">= </w:t>
            </w:r>
            <w:r w:rsidRPr="00F81E5A">
              <w:t xml:space="preserve">[PP + (UM x </w:t>
            </w:r>
            <w:proofErr w:type="gramStart"/>
            <w:r w:rsidRPr="00F81E5A">
              <w:t>Coeficiente)]</w:t>
            </w:r>
            <w:proofErr w:type="gramEnd"/>
          </w:p>
          <w:p w:rsidR="00F81E5A" w:rsidRPr="00F81E5A" w:rsidRDefault="00F81E5A" w:rsidP="00386AFF">
            <w:pPr>
              <w:pStyle w:val="Default"/>
              <w:spacing w:line="276" w:lineRule="auto"/>
              <w:jc w:val="center"/>
            </w:pPr>
            <w:proofErr w:type="gramStart"/>
            <w:r w:rsidRPr="00F81E5A">
              <w:rPr>
                <w:color w:val="auto"/>
              </w:rPr>
              <w:t>+</w:t>
            </w:r>
            <w:proofErr w:type="gramEnd"/>
            <w:r w:rsidRPr="00F81E5A">
              <w:rPr>
                <w:color w:val="auto"/>
              </w:rPr>
              <w:t xml:space="preserve"> Taxa de Vistoria Técnica </w:t>
            </w:r>
            <w:r w:rsidRPr="00F81E5A">
              <w:rPr>
                <w:i/>
                <w:color w:val="auto"/>
              </w:rPr>
              <w:t>(quando necessário)</w:t>
            </w:r>
          </w:p>
        </w:tc>
      </w:tr>
    </w:tbl>
    <w:p w:rsidR="00F81E5A" w:rsidRPr="00F81E5A" w:rsidRDefault="00F81E5A" w:rsidP="00F81E5A">
      <w:pPr>
        <w:pStyle w:val="Default"/>
        <w:tabs>
          <w:tab w:val="left" w:pos="0"/>
        </w:tabs>
        <w:jc w:val="center"/>
        <w:rPr>
          <w:sz w:val="20"/>
        </w:rPr>
      </w:pPr>
      <w:r w:rsidRPr="00F81E5A">
        <w:rPr>
          <w:sz w:val="20"/>
        </w:rPr>
        <w:t>Legenda: PP (Potencial Poluidor) – UM (Unidade de Medida)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</w:tblGrid>
      <w:tr w:rsidR="00F81E5A" w:rsidRPr="00F81E5A" w:rsidTr="00386AFF">
        <w:tc>
          <w:tcPr>
            <w:tcW w:w="5812" w:type="dxa"/>
            <w:shd w:val="clear" w:color="auto" w:fill="auto"/>
          </w:tcPr>
          <w:p w:rsidR="00F81E5A" w:rsidRPr="00F81E5A" w:rsidRDefault="00F81E5A" w:rsidP="00386AFF">
            <w:pPr>
              <w:ind w:firstLine="34"/>
              <w:rPr>
                <w:rFonts w:ascii="Times New Roman" w:hAnsi="Times New Roman"/>
                <w:b/>
                <w:sz w:val="24"/>
                <w:szCs w:val="24"/>
              </w:rPr>
            </w:pPr>
            <w:r w:rsidRPr="00F81E5A">
              <w:rPr>
                <w:rFonts w:ascii="Times New Roman" w:hAnsi="Times New Roman"/>
                <w:b/>
                <w:sz w:val="24"/>
                <w:szCs w:val="24"/>
              </w:rPr>
              <w:t>Atividade Específica:</w:t>
            </w:r>
          </w:p>
          <w:p w:rsidR="00F81E5A" w:rsidRPr="00F81E5A" w:rsidRDefault="00F81E5A" w:rsidP="00386AFF">
            <w:pPr>
              <w:pStyle w:val="PargrafodaLista"/>
              <w:numPr>
                <w:ilvl w:val="0"/>
                <w:numId w:val="7"/>
              </w:numPr>
              <w:suppressAutoHyphens w:val="0"/>
              <w:autoSpaceDE w:val="0"/>
              <w:autoSpaceDN w:val="0"/>
              <w:adjustRightInd w:val="0"/>
              <w:spacing w:line="240" w:lineRule="auto"/>
              <w:contextualSpacing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81E5A">
              <w:rPr>
                <w:rFonts w:ascii="Times New Roman" w:hAnsi="Times New Roman" w:cs="Times New Roman"/>
                <w:sz w:val="24"/>
                <w:szCs w:val="24"/>
              </w:rPr>
              <w:t>Corte de Árvore: 0,2 UPF/MT x número de árvores</w:t>
            </w:r>
          </w:p>
        </w:tc>
      </w:tr>
    </w:tbl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C</w:t>
      </w:r>
    </w:p>
    <w:p w:rsidR="00F81E5A" w:rsidRPr="00F81E5A" w:rsidRDefault="00F81E5A" w:rsidP="00F81E5A">
      <w:pPr>
        <w:pStyle w:val="PargrafodaLista"/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E5A">
        <w:rPr>
          <w:rFonts w:ascii="Times New Roman" w:hAnsi="Times New Roman" w:cs="Times New Roman"/>
          <w:b/>
          <w:sz w:val="24"/>
          <w:szCs w:val="24"/>
        </w:rPr>
        <w:t>Licença por Adesão e Compromisso</w:t>
      </w:r>
    </w:p>
    <w:p w:rsidR="00F81E5A" w:rsidRPr="00F81E5A" w:rsidRDefault="00F81E5A" w:rsidP="00F81E5A">
      <w:pPr>
        <w:pStyle w:val="PargrafodaLista"/>
        <w:ind w:hanging="720"/>
        <w:jc w:val="center"/>
        <w:rPr>
          <w:rFonts w:ascii="Times New Roman" w:hAnsi="Times New Roman" w:cs="Times New Roman"/>
        </w:rPr>
      </w:pPr>
    </w:p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</w:rPr>
      </w:pPr>
      <w:r w:rsidRPr="00F81E5A">
        <w:rPr>
          <w:rFonts w:ascii="Times New Roman" w:hAnsi="Times New Roman" w:cs="Times New Roman"/>
          <w:b/>
          <w:sz w:val="24"/>
        </w:rPr>
        <w:t>Licença por Adesão e Compromisso (LAC):</w:t>
      </w:r>
      <w:r w:rsidRPr="00F81E5A">
        <w:rPr>
          <w:rFonts w:ascii="Times New Roman" w:hAnsi="Times New Roman" w:cs="Times New Roman"/>
          <w:sz w:val="24"/>
        </w:rPr>
        <w:t xml:space="preserve"> licença que autoriza a instalação e a operação de atividade ou empreendimento considerado de reduzido impacto ambiental, mediante apresentação de projeto com anotação de responsabilidade técnica ou equivalente, ou ainda projeto elaborado por entidades públicas de pesquisa e fomento, e adesão e compromisso do empreendedor aos requisitos pré-estabelecidos pela autoridade licenciadora;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3"/>
        <w:gridCol w:w="2069"/>
      </w:tblGrid>
      <w:tr w:rsidR="00F81E5A" w:rsidRPr="00F81E5A" w:rsidTr="00386AFF">
        <w:trPr>
          <w:jc w:val="center"/>
        </w:trPr>
        <w:tc>
          <w:tcPr>
            <w:tcW w:w="4843" w:type="dxa"/>
            <w:shd w:val="clear" w:color="auto" w:fill="auto"/>
          </w:tcPr>
          <w:p w:rsidR="00F81E5A" w:rsidRPr="00F81E5A" w:rsidRDefault="00F81E5A" w:rsidP="00386AFF">
            <w:pPr>
              <w:pStyle w:val="PargrafodaLista"/>
              <w:suppressAutoHyphens w:val="0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</w:rPr>
            </w:pPr>
            <w:r w:rsidRPr="00F81E5A">
              <w:rPr>
                <w:rFonts w:ascii="Times New Roman" w:hAnsi="Times New Roman" w:cs="Times New Roman"/>
                <w:sz w:val="24"/>
              </w:rPr>
              <w:t>Licença por Adesão e Compromisso (LAC)</w:t>
            </w:r>
          </w:p>
        </w:tc>
        <w:tc>
          <w:tcPr>
            <w:tcW w:w="2069" w:type="dxa"/>
            <w:shd w:val="clear" w:color="auto" w:fill="auto"/>
          </w:tcPr>
          <w:p w:rsidR="00F81E5A" w:rsidRPr="00F81E5A" w:rsidRDefault="00F81E5A" w:rsidP="00386AFF">
            <w:pPr>
              <w:pStyle w:val="PargrafodaLista"/>
              <w:suppressAutoHyphens w:val="0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</w:rPr>
            </w:pPr>
            <w:r w:rsidRPr="00F81E5A">
              <w:rPr>
                <w:rFonts w:ascii="Times New Roman" w:hAnsi="Times New Roman" w:cs="Times New Roman"/>
                <w:sz w:val="24"/>
              </w:rPr>
              <w:t xml:space="preserve"> 0,7 UPF/MT</w:t>
            </w:r>
          </w:p>
        </w:tc>
      </w:tr>
    </w:tbl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</w:rPr>
      </w:pPr>
    </w:p>
    <w:p w:rsidR="00F81E5A" w:rsidRPr="00F81E5A" w:rsidRDefault="00F81E5A" w:rsidP="00F81E5A">
      <w:pPr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8"/>
          <w:szCs w:val="24"/>
        </w:rPr>
      </w:pPr>
      <w:r w:rsidRPr="00F81E5A">
        <w:rPr>
          <w:rFonts w:ascii="Times New Roman" w:hAnsi="Times New Roman"/>
          <w:b/>
          <w:sz w:val="28"/>
          <w:szCs w:val="24"/>
        </w:rPr>
        <w:t>ANEXO V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DOCUMENTOS DIVERSOS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A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CADASTROS, VISTORIAS, DECLARAÇÕES E CERTIDÕES</w:t>
      </w:r>
    </w:p>
    <w:p w:rsidR="00F81E5A" w:rsidRPr="00F81E5A" w:rsidRDefault="00F81E5A" w:rsidP="00F81E5A">
      <w:pPr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A.1 - Vistoria Técnica na Área Urbana: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0,6</w:t>
            </w:r>
          </w:p>
        </w:tc>
      </w:tr>
    </w:tbl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A.2 - Vistoria Técnica na Área Rural: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1</w:t>
            </w:r>
          </w:p>
        </w:tc>
      </w:tr>
    </w:tbl>
    <w:p w:rsidR="00F81E5A" w:rsidRPr="00F81E5A" w:rsidRDefault="00F81E5A" w:rsidP="00F81E5A">
      <w:pPr>
        <w:ind w:firstLine="2835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A.3 - Certidões Diversas: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0,2</w:t>
            </w:r>
          </w:p>
        </w:tc>
      </w:tr>
    </w:tbl>
    <w:p w:rsidR="00F81E5A" w:rsidRPr="00F81E5A" w:rsidRDefault="00F81E5A" w:rsidP="00F81E5A">
      <w:pPr>
        <w:ind w:firstLine="2835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ind w:left="2268" w:right="-93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A.4 - Expedição de Segunda Via de licenças ou de autorizações ambientais: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0,4</w:t>
            </w:r>
          </w:p>
        </w:tc>
      </w:tr>
    </w:tbl>
    <w:p w:rsidR="00F81E5A" w:rsidRPr="00F81E5A" w:rsidRDefault="00F81E5A" w:rsidP="00F81E5A">
      <w:pPr>
        <w:jc w:val="center"/>
        <w:rPr>
          <w:rFonts w:ascii="Times New Roman" w:hAnsi="Times New Roman"/>
          <w:sz w:val="20"/>
          <w:szCs w:val="24"/>
        </w:rPr>
      </w:pPr>
    </w:p>
    <w:p w:rsidR="00F81E5A" w:rsidRPr="00F81E5A" w:rsidRDefault="00F81E5A" w:rsidP="00F81E5A">
      <w:pPr>
        <w:ind w:left="2268"/>
        <w:rPr>
          <w:rFonts w:ascii="Times New Roman" w:hAnsi="Times New Roman"/>
          <w:szCs w:val="24"/>
        </w:rPr>
      </w:pPr>
      <w:r w:rsidRPr="00F81E5A">
        <w:rPr>
          <w:rFonts w:ascii="Times New Roman" w:hAnsi="Times New Roman"/>
          <w:szCs w:val="24"/>
        </w:rPr>
        <w:t>A.5 - Alteração Cadastral de processos de licenciamento ambiental e de licenças ambientais emitidas: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Cs w:val="24"/>
              </w:rPr>
            </w:pPr>
            <w:r w:rsidRPr="00F81E5A">
              <w:rPr>
                <w:rFonts w:ascii="Times New Roman" w:hAnsi="Times New Roman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Cs w:val="24"/>
              </w:rPr>
              <w:t>= 0,5</w:t>
            </w:r>
            <w:r w:rsidRPr="00F81E5A">
              <w:rPr>
                <w:rFonts w:ascii="Times New Roman" w:hAnsi="Times New Roman"/>
                <w:bCs/>
                <w:szCs w:val="24"/>
              </w:rPr>
              <w:br/>
              <w:t>(+) mais taxa de vistoria se necessário</w:t>
            </w:r>
          </w:p>
        </w:tc>
      </w:tr>
    </w:tbl>
    <w:p w:rsidR="00F81E5A" w:rsidRPr="00F81E5A" w:rsidRDefault="00F81E5A" w:rsidP="00F81E5A">
      <w:pPr>
        <w:autoSpaceDE w:val="0"/>
        <w:autoSpaceDN w:val="0"/>
        <w:adjustRightInd w:val="0"/>
        <w:ind w:firstLine="2268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ind w:firstLine="2268"/>
        <w:rPr>
          <w:rFonts w:ascii="Times New Roman" w:hAnsi="Times New Roman"/>
          <w:szCs w:val="24"/>
        </w:rPr>
      </w:pPr>
      <w:r w:rsidRPr="00F81E5A">
        <w:rPr>
          <w:rFonts w:ascii="Times New Roman" w:hAnsi="Times New Roman"/>
          <w:szCs w:val="24"/>
        </w:rPr>
        <w:lastRenderedPageBreak/>
        <w:t>A.6 - Declaração de Dispensa de Licenciamento Ambiental: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F81E5A">
              <w:rPr>
                <w:rFonts w:ascii="Times New Roman" w:hAnsi="Times New Roman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Cs w:val="24"/>
              </w:rPr>
              <w:t>= 0,5</w:t>
            </w:r>
          </w:p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Cs w:val="24"/>
              </w:rPr>
            </w:pPr>
            <w:r w:rsidRPr="00F81E5A">
              <w:rPr>
                <w:rFonts w:ascii="Times New Roman" w:hAnsi="Times New Roman"/>
                <w:bCs/>
                <w:szCs w:val="24"/>
              </w:rPr>
              <w:t>(+) mais taxa de vistoria se necessário</w:t>
            </w:r>
          </w:p>
        </w:tc>
      </w:tr>
    </w:tbl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ind w:firstLine="2268"/>
        <w:rPr>
          <w:rFonts w:ascii="Times New Roman" w:hAnsi="Times New Roman"/>
          <w:szCs w:val="24"/>
        </w:rPr>
      </w:pPr>
      <w:r w:rsidRPr="00F81E5A">
        <w:rPr>
          <w:rFonts w:ascii="Times New Roman" w:hAnsi="Times New Roman"/>
          <w:szCs w:val="24"/>
        </w:rPr>
        <w:t>A.7 – Reanálise de Processo: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F81E5A">
              <w:rPr>
                <w:rFonts w:ascii="Times New Roman" w:hAnsi="Times New Roman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Cs w:val="24"/>
              </w:rPr>
              <w:t>= 1,0</w:t>
            </w:r>
          </w:p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Cs w:val="24"/>
              </w:rPr>
            </w:pPr>
            <w:r w:rsidRPr="00F81E5A">
              <w:rPr>
                <w:rFonts w:ascii="Times New Roman" w:hAnsi="Times New Roman"/>
                <w:bCs/>
                <w:szCs w:val="24"/>
              </w:rPr>
              <w:t>(+) mais taxa de vistoria se necessário</w:t>
            </w:r>
          </w:p>
        </w:tc>
      </w:tr>
    </w:tbl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9E4B29" w:rsidRPr="00F81E5A" w:rsidRDefault="009E4B29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sectPr w:rsidR="009E4B29" w:rsidRPr="00F81E5A" w:rsidSect="003165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8DE" w:rsidRDefault="008208DE" w:rsidP="00732E4E">
      <w:pPr>
        <w:spacing w:after="0" w:line="240" w:lineRule="auto"/>
      </w:pPr>
      <w:r>
        <w:separator/>
      </w:r>
    </w:p>
  </w:endnote>
  <w:endnote w:type="continuationSeparator" w:id="0">
    <w:p w:rsidR="008208DE" w:rsidRDefault="008208DE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,Bold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A5A241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B0443F2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8DE" w:rsidRDefault="008208DE" w:rsidP="00732E4E">
      <w:pPr>
        <w:spacing w:after="0" w:line="240" w:lineRule="auto"/>
      </w:pPr>
      <w:r>
        <w:separator/>
      </w:r>
    </w:p>
  </w:footnote>
  <w:footnote w:type="continuationSeparator" w:id="0">
    <w:p w:rsidR="008208DE" w:rsidRDefault="008208DE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02E21"/>
    <w:multiLevelType w:val="hybridMultilevel"/>
    <w:tmpl w:val="A2B46E90"/>
    <w:lvl w:ilvl="0" w:tplc="2F0EA2F2">
      <w:start w:val="1"/>
      <w:numFmt w:val="upperRoman"/>
      <w:lvlText w:val="%1-"/>
      <w:lvlJc w:val="left"/>
      <w:pPr>
        <w:ind w:left="1854" w:hanging="72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1EE864DE"/>
    <w:multiLevelType w:val="hybridMultilevel"/>
    <w:tmpl w:val="E20A40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86191"/>
    <w:multiLevelType w:val="multilevel"/>
    <w:tmpl w:val="F748313A"/>
    <w:styleLink w:val="Estilo1"/>
    <w:lvl w:ilvl="0">
      <w:start w:val="10"/>
      <w:numFmt w:val="decimal"/>
      <w:lvlText w:val="Art  %1."/>
      <w:lvlJc w:val="left"/>
      <w:pPr>
        <w:ind w:left="0" w:firstLine="0"/>
      </w:pPr>
      <w:rPr>
        <w:rFonts w:ascii="Arial" w:hAnsi="Arial" w:cs="Arial" w:hint="default"/>
        <w:b/>
        <w:sz w:val="24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3" w15:restartNumberingAfterBreak="0">
    <w:nsid w:val="33B43833"/>
    <w:multiLevelType w:val="multilevel"/>
    <w:tmpl w:val="C784A84C"/>
    <w:lvl w:ilvl="0">
      <w:start w:val="1"/>
      <w:numFmt w:val="decimal"/>
      <w:lvlText w:val="Art.  %1."/>
      <w:lvlJc w:val="left"/>
      <w:pPr>
        <w:ind w:left="1333" w:firstLine="8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350C3F14"/>
    <w:multiLevelType w:val="multilevel"/>
    <w:tmpl w:val="D26AE48C"/>
    <w:numStyleLink w:val="Estilo2"/>
  </w:abstractNum>
  <w:abstractNum w:abstractNumId="5" w15:restartNumberingAfterBreak="0">
    <w:nsid w:val="5CAA333A"/>
    <w:multiLevelType w:val="hybridMultilevel"/>
    <w:tmpl w:val="E20A40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81020"/>
    <w:multiLevelType w:val="multilevel"/>
    <w:tmpl w:val="D26AE48C"/>
    <w:styleLink w:val="Estilo2"/>
    <w:lvl w:ilvl="0">
      <w:start w:val="1"/>
      <w:numFmt w:val="ordinal"/>
      <w:lvlText w:val="Art.  %1."/>
      <w:lvlJc w:val="left"/>
      <w:pPr>
        <w:ind w:left="568" w:firstLine="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7" w15:restartNumberingAfterBreak="0">
    <w:nsid w:val="5F0919AD"/>
    <w:multiLevelType w:val="hybridMultilevel"/>
    <w:tmpl w:val="1C4030D0"/>
    <w:lvl w:ilvl="0" w:tplc="A1C8E94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4"/>
    <w:lvlOverride w:ilvl="0">
      <w:lvl w:ilvl="0">
        <w:start w:val="1"/>
        <w:numFmt w:val="ordinal"/>
        <w:lvlText w:val="Art.  %1."/>
        <w:lvlJc w:val="left"/>
        <w:pPr>
          <w:ind w:left="2836" w:firstLine="0"/>
        </w:pPr>
        <w:rPr>
          <w:rFonts w:ascii="Times New Roman" w:hAnsi="Times New Roman" w:cs="Times New Roman" w:hint="default"/>
          <w:b/>
          <w:i w:val="0"/>
          <w:sz w:val="24"/>
          <w:szCs w:val="24"/>
        </w:rPr>
      </w:lvl>
    </w:lvlOverride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E5CB4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5C44"/>
    <w:rsid w:val="005C676F"/>
    <w:rsid w:val="005C7C13"/>
    <w:rsid w:val="005D3480"/>
    <w:rsid w:val="005F085C"/>
    <w:rsid w:val="005F71ED"/>
    <w:rsid w:val="006005F0"/>
    <w:rsid w:val="006110E1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08DE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9E4B29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C03CDB"/>
    <w:rsid w:val="00C3450C"/>
    <w:rsid w:val="00C473BB"/>
    <w:rsid w:val="00C83DF1"/>
    <w:rsid w:val="00CC23D5"/>
    <w:rsid w:val="00CC4140"/>
    <w:rsid w:val="00CD588A"/>
    <w:rsid w:val="00CE35CB"/>
    <w:rsid w:val="00CF598B"/>
    <w:rsid w:val="00CF5DDF"/>
    <w:rsid w:val="00D17BBC"/>
    <w:rsid w:val="00D5195B"/>
    <w:rsid w:val="00D63E18"/>
    <w:rsid w:val="00D732BF"/>
    <w:rsid w:val="00D73860"/>
    <w:rsid w:val="00D90184"/>
    <w:rsid w:val="00D918FA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1645C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81E5A"/>
    <w:rsid w:val="00F90950"/>
    <w:rsid w:val="00F953A5"/>
    <w:rsid w:val="00FA0233"/>
    <w:rsid w:val="00FA0C20"/>
    <w:rsid w:val="00FA4220"/>
    <w:rsid w:val="00FA54FA"/>
    <w:rsid w:val="00FC21B5"/>
    <w:rsid w:val="00FC4C39"/>
    <w:rsid w:val="00FD17E4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D918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F81E5A"/>
    <w:pPr>
      <w:keepNext/>
      <w:keepLines/>
      <w:suppressAutoHyphens/>
      <w:spacing w:before="200" w:after="0"/>
      <w:jc w:val="both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ar-SA"/>
    </w:rPr>
  </w:style>
  <w:style w:type="paragraph" w:styleId="Ttulo3">
    <w:name w:val="heading 3"/>
    <w:basedOn w:val="Normal"/>
    <w:next w:val="Normal"/>
    <w:link w:val="Ttulo3Char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paragraph" w:styleId="Ttulo4">
    <w:name w:val="heading 4"/>
    <w:basedOn w:val="Normal"/>
    <w:next w:val="Normal"/>
    <w:link w:val="Ttulo4Char"/>
    <w:unhideWhenUsed/>
    <w:qFormat/>
    <w:rsid w:val="00F81E5A"/>
    <w:pPr>
      <w:keepNext/>
      <w:keepLines/>
      <w:suppressAutoHyphens/>
      <w:spacing w:before="200" w:after="0"/>
      <w:jc w:val="both"/>
      <w:outlineLvl w:val="3"/>
    </w:pPr>
    <w:rPr>
      <w:rFonts w:ascii="Cambria" w:eastAsia="Times New Roman" w:hAnsi="Cambria"/>
      <w:b/>
      <w:bCs/>
      <w:i/>
      <w:iCs/>
      <w:color w:val="4F81BD"/>
      <w:lang w:val="x-none" w:eastAsia="ar-SA"/>
    </w:rPr>
  </w:style>
  <w:style w:type="paragraph" w:styleId="Ttulo5">
    <w:name w:val="heading 5"/>
    <w:basedOn w:val="Normal"/>
    <w:next w:val="Normal"/>
    <w:link w:val="Ttulo5Char"/>
    <w:unhideWhenUsed/>
    <w:qFormat/>
    <w:rsid w:val="00F81E5A"/>
    <w:pPr>
      <w:keepNext/>
      <w:keepLines/>
      <w:suppressAutoHyphens/>
      <w:spacing w:before="200" w:after="0"/>
      <w:jc w:val="both"/>
      <w:outlineLvl w:val="4"/>
    </w:pPr>
    <w:rPr>
      <w:rFonts w:ascii="Cambria" w:eastAsia="Times New Roman" w:hAnsi="Cambria"/>
      <w:color w:val="243F60"/>
      <w:lang w:val="x-none" w:eastAsia="ar-SA"/>
    </w:rPr>
  </w:style>
  <w:style w:type="paragraph" w:styleId="Ttulo6">
    <w:name w:val="heading 6"/>
    <w:basedOn w:val="Normal"/>
    <w:next w:val="Normal"/>
    <w:link w:val="Ttulo6Char"/>
    <w:unhideWhenUsed/>
    <w:qFormat/>
    <w:rsid w:val="00F81E5A"/>
    <w:pPr>
      <w:keepNext/>
      <w:keepLines/>
      <w:suppressAutoHyphens/>
      <w:spacing w:before="200" w:after="0"/>
      <w:jc w:val="both"/>
      <w:outlineLvl w:val="5"/>
    </w:pPr>
    <w:rPr>
      <w:rFonts w:ascii="Cambria" w:eastAsia="Times New Roman" w:hAnsi="Cambria"/>
      <w:i/>
      <w:iCs/>
      <w:color w:val="243F60"/>
      <w:lang w:val="x-none" w:eastAsia="ar-SA"/>
    </w:rPr>
  </w:style>
  <w:style w:type="paragraph" w:styleId="Ttulo7">
    <w:name w:val="heading 7"/>
    <w:basedOn w:val="Normal"/>
    <w:next w:val="Normal"/>
    <w:link w:val="Ttulo7Char"/>
    <w:unhideWhenUsed/>
    <w:qFormat/>
    <w:rsid w:val="00F81E5A"/>
    <w:pPr>
      <w:keepNext/>
      <w:keepLines/>
      <w:suppressAutoHyphens/>
      <w:spacing w:before="200" w:after="0"/>
      <w:jc w:val="both"/>
      <w:outlineLvl w:val="6"/>
    </w:pPr>
    <w:rPr>
      <w:rFonts w:ascii="Cambria" w:eastAsia="Times New Roman" w:hAnsi="Cambria"/>
      <w:i/>
      <w:iCs/>
      <w:color w:val="404040"/>
      <w:lang w:val="x-none" w:eastAsia="ar-SA"/>
    </w:rPr>
  </w:style>
  <w:style w:type="paragraph" w:styleId="Ttulo8">
    <w:name w:val="heading 8"/>
    <w:basedOn w:val="Normal"/>
    <w:next w:val="Normal"/>
    <w:link w:val="Ttulo8Char"/>
    <w:unhideWhenUsed/>
    <w:qFormat/>
    <w:rsid w:val="00F81E5A"/>
    <w:pPr>
      <w:keepNext/>
      <w:keepLines/>
      <w:suppressAutoHyphens/>
      <w:spacing w:before="200" w:after="0"/>
      <w:jc w:val="both"/>
      <w:outlineLvl w:val="7"/>
    </w:pPr>
    <w:rPr>
      <w:rFonts w:ascii="Cambria" w:eastAsia="Times New Roman" w:hAnsi="Cambria"/>
      <w:color w:val="404040"/>
      <w:sz w:val="20"/>
      <w:szCs w:val="20"/>
      <w:lang w:val="x-none" w:eastAsia="ar-SA"/>
    </w:rPr>
  </w:style>
  <w:style w:type="paragraph" w:styleId="Ttulo9">
    <w:name w:val="heading 9"/>
    <w:basedOn w:val="Normal"/>
    <w:next w:val="Normal"/>
    <w:link w:val="Ttulo9Char"/>
    <w:unhideWhenUsed/>
    <w:qFormat/>
    <w:rsid w:val="00F81E5A"/>
    <w:pPr>
      <w:keepNext/>
      <w:keepLines/>
      <w:suppressAutoHyphens/>
      <w:spacing w:before="200" w:after="0"/>
      <w:jc w:val="both"/>
      <w:outlineLvl w:val="8"/>
    </w:pPr>
    <w:rPr>
      <w:rFonts w:ascii="Cambria" w:eastAsia="Times New Roman" w:hAnsi="Cambria"/>
      <w:i/>
      <w:iCs/>
      <w:color w:val="404040"/>
      <w:sz w:val="20"/>
      <w:szCs w:val="20"/>
      <w:lang w:val="x-none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2E4E"/>
  </w:style>
  <w:style w:type="paragraph" w:styleId="Rodap">
    <w:name w:val="footer"/>
    <w:basedOn w:val="Normal"/>
    <w:link w:val="RodapChar"/>
    <w:uiPriority w:val="99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2E4E"/>
  </w:style>
  <w:style w:type="paragraph" w:styleId="Textodebalo">
    <w:name w:val="Balloon Text"/>
    <w:basedOn w:val="Normal"/>
    <w:link w:val="TextodebaloChar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614B7D"/>
    <w:rPr>
      <w:color w:val="0000FF"/>
      <w:u w:val="single"/>
    </w:rPr>
  </w:style>
  <w:style w:type="character" w:styleId="Forte">
    <w:name w:val="Strong"/>
    <w:uiPriority w:val="22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D918F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Ttulo2Char">
    <w:name w:val="Título 2 Char"/>
    <w:basedOn w:val="Fontepargpadro"/>
    <w:link w:val="Ttulo2"/>
    <w:rsid w:val="00F81E5A"/>
    <w:rPr>
      <w:rFonts w:ascii="Cambria" w:eastAsia="Times New Roman" w:hAnsi="Cambria"/>
      <w:b/>
      <w:bCs/>
      <w:color w:val="4F81BD"/>
      <w:sz w:val="26"/>
      <w:szCs w:val="26"/>
      <w:lang w:val="x-none" w:eastAsia="ar-SA"/>
    </w:rPr>
  </w:style>
  <w:style w:type="character" w:customStyle="1" w:styleId="Ttulo4Char">
    <w:name w:val="Título 4 Char"/>
    <w:basedOn w:val="Fontepargpadro"/>
    <w:link w:val="Ttulo4"/>
    <w:rsid w:val="00F81E5A"/>
    <w:rPr>
      <w:rFonts w:ascii="Cambria" w:eastAsia="Times New Roman" w:hAnsi="Cambria"/>
      <w:b/>
      <w:bCs/>
      <w:i/>
      <w:iCs/>
      <w:color w:val="4F81BD"/>
      <w:sz w:val="22"/>
      <w:szCs w:val="22"/>
      <w:lang w:val="x-none" w:eastAsia="ar-SA"/>
    </w:rPr>
  </w:style>
  <w:style w:type="character" w:customStyle="1" w:styleId="Ttulo5Char">
    <w:name w:val="Título 5 Char"/>
    <w:basedOn w:val="Fontepargpadro"/>
    <w:link w:val="Ttulo5"/>
    <w:rsid w:val="00F81E5A"/>
    <w:rPr>
      <w:rFonts w:ascii="Cambria" w:eastAsia="Times New Roman" w:hAnsi="Cambria"/>
      <w:color w:val="243F60"/>
      <w:sz w:val="22"/>
      <w:szCs w:val="22"/>
      <w:lang w:val="x-none" w:eastAsia="ar-SA"/>
    </w:rPr>
  </w:style>
  <w:style w:type="character" w:customStyle="1" w:styleId="Ttulo6Char">
    <w:name w:val="Título 6 Char"/>
    <w:basedOn w:val="Fontepargpadro"/>
    <w:link w:val="Ttulo6"/>
    <w:rsid w:val="00F81E5A"/>
    <w:rPr>
      <w:rFonts w:ascii="Cambria" w:eastAsia="Times New Roman" w:hAnsi="Cambria"/>
      <w:i/>
      <w:iCs/>
      <w:color w:val="243F60"/>
      <w:sz w:val="22"/>
      <w:szCs w:val="22"/>
      <w:lang w:val="x-none" w:eastAsia="ar-SA"/>
    </w:rPr>
  </w:style>
  <w:style w:type="character" w:customStyle="1" w:styleId="Ttulo7Char">
    <w:name w:val="Título 7 Char"/>
    <w:basedOn w:val="Fontepargpadro"/>
    <w:link w:val="Ttulo7"/>
    <w:rsid w:val="00F81E5A"/>
    <w:rPr>
      <w:rFonts w:ascii="Cambria" w:eastAsia="Times New Roman" w:hAnsi="Cambria"/>
      <w:i/>
      <w:iCs/>
      <w:color w:val="404040"/>
      <w:sz w:val="22"/>
      <w:szCs w:val="22"/>
      <w:lang w:val="x-none" w:eastAsia="ar-SA"/>
    </w:rPr>
  </w:style>
  <w:style w:type="character" w:customStyle="1" w:styleId="Ttulo8Char">
    <w:name w:val="Título 8 Char"/>
    <w:basedOn w:val="Fontepargpadro"/>
    <w:link w:val="Ttulo8"/>
    <w:rsid w:val="00F81E5A"/>
    <w:rPr>
      <w:rFonts w:ascii="Cambria" w:eastAsia="Times New Roman" w:hAnsi="Cambria"/>
      <w:color w:val="404040"/>
      <w:lang w:val="x-none" w:eastAsia="ar-SA"/>
    </w:rPr>
  </w:style>
  <w:style w:type="character" w:customStyle="1" w:styleId="Ttulo9Char">
    <w:name w:val="Título 9 Char"/>
    <w:basedOn w:val="Fontepargpadro"/>
    <w:link w:val="Ttulo9"/>
    <w:rsid w:val="00F81E5A"/>
    <w:rPr>
      <w:rFonts w:ascii="Cambria" w:eastAsia="Times New Roman" w:hAnsi="Cambria"/>
      <w:i/>
      <w:iCs/>
      <w:color w:val="404040"/>
      <w:lang w:val="x-none" w:eastAsia="ar-SA"/>
    </w:rPr>
  </w:style>
  <w:style w:type="paragraph" w:styleId="PargrafodaLista">
    <w:name w:val="List Paragraph"/>
    <w:basedOn w:val="Normal"/>
    <w:uiPriority w:val="34"/>
    <w:qFormat/>
    <w:rsid w:val="00F81E5A"/>
    <w:pPr>
      <w:suppressAutoHyphens/>
      <w:spacing w:after="0"/>
      <w:ind w:left="720"/>
      <w:contextualSpacing/>
      <w:jc w:val="both"/>
    </w:pPr>
    <w:rPr>
      <w:rFonts w:cs="Calibri"/>
      <w:lang w:eastAsia="ar-SA"/>
    </w:rPr>
  </w:style>
  <w:style w:type="character" w:customStyle="1" w:styleId="Ttulo3Char">
    <w:name w:val="Título 3 Char"/>
    <w:link w:val="Ttulo3"/>
    <w:rsid w:val="00F81E5A"/>
    <w:rPr>
      <w:rFonts w:ascii="Arial Black" w:eastAsia="Times New Roman" w:hAnsi="Arial Black" w:cs="Arial"/>
      <w:b/>
      <w:bCs/>
      <w:noProof/>
      <w:sz w:val="36"/>
      <w:szCs w:val="24"/>
    </w:rPr>
  </w:style>
  <w:style w:type="paragraph" w:customStyle="1" w:styleId="PargrafodaLista1">
    <w:name w:val="Parágrafo da Lista1"/>
    <w:basedOn w:val="Normal"/>
    <w:rsid w:val="00F81E5A"/>
    <w:pPr>
      <w:suppressAutoHyphens/>
      <w:spacing w:after="0"/>
      <w:ind w:left="720" w:firstLine="709"/>
      <w:jc w:val="both"/>
    </w:pPr>
    <w:rPr>
      <w:rFonts w:cs="Calibri"/>
      <w:lang w:eastAsia="ar-SA"/>
    </w:rPr>
  </w:style>
  <w:style w:type="paragraph" w:styleId="Ttulo">
    <w:name w:val="Title"/>
    <w:basedOn w:val="Ttulo1"/>
    <w:next w:val="Normal"/>
    <w:link w:val="TtuloChar"/>
    <w:qFormat/>
    <w:rsid w:val="00F81E5A"/>
    <w:pPr>
      <w:keepLines w:val="0"/>
      <w:suppressAutoHyphens/>
      <w:spacing w:after="60" w:line="240" w:lineRule="auto"/>
    </w:pPr>
    <w:rPr>
      <w:rFonts w:ascii="Arial" w:eastAsia="Times New Roman" w:hAnsi="Arial" w:cs="Times New Roman"/>
      <w:b/>
      <w:color w:val="auto"/>
      <w:kern w:val="1"/>
      <w:sz w:val="28"/>
      <w:lang w:val="x-none" w:eastAsia="ar-SA"/>
    </w:rPr>
  </w:style>
  <w:style w:type="character" w:customStyle="1" w:styleId="TtuloChar">
    <w:name w:val="Título Char"/>
    <w:basedOn w:val="Fontepargpadro"/>
    <w:link w:val="Ttulo"/>
    <w:rsid w:val="00F81E5A"/>
    <w:rPr>
      <w:rFonts w:ascii="Arial" w:eastAsia="Times New Roman" w:hAnsi="Arial"/>
      <w:b/>
      <w:kern w:val="1"/>
      <w:sz w:val="28"/>
      <w:szCs w:val="32"/>
      <w:lang w:val="x-none" w:eastAsia="ar-SA"/>
    </w:rPr>
  </w:style>
  <w:style w:type="numbering" w:customStyle="1" w:styleId="Estilo1">
    <w:name w:val="Estilo1"/>
    <w:uiPriority w:val="99"/>
    <w:rsid w:val="00F81E5A"/>
    <w:pPr>
      <w:numPr>
        <w:numId w:val="2"/>
      </w:numPr>
    </w:pPr>
  </w:style>
  <w:style w:type="character" w:customStyle="1" w:styleId="Absatz-Standardschriftart">
    <w:name w:val="Absatz-Standardschriftart"/>
    <w:rsid w:val="00F81E5A"/>
  </w:style>
  <w:style w:type="character" w:customStyle="1" w:styleId="font011">
    <w:name w:val="font011"/>
    <w:rsid w:val="00F81E5A"/>
    <w:rPr>
      <w:rFonts w:ascii="Verdana" w:hAnsi="Verdana" w:hint="default"/>
      <w:b w:val="0"/>
      <w:bCs w:val="0"/>
      <w:i w:val="0"/>
      <w:iCs w:val="0"/>
      <w:sz w:val="15"/>
      <w:szCs w:val="15"/>
    </w:rPr>
  </w:style>
  <w:style w:type="paragraph" w:customStyle="1" w:styleId="Corpodetexto21">
    <w:name w:val="Corpo de texto 21"/>
    <w:basedOn w:val="Normal"/>
    <w:rsid w:val="00F81E5A"/>
    <w:pPr>
      <w:suppressAutoHyphens/>
      <w:spacing w:after="0" w:line="240" w:lineRule="auto"/>
      <w:jc w:val="both"/>
    </w:pPr>
    <w:rPr>
      <w:rFonts w:ascii="Times New Roman" w:eastAsia="Times New Roman" w:hAnsi="Times New Roman" w:cs="Calibri"/>
      <w:color w:val="FF0000"/>
      <w:sz w:val="24"/>
      <w:szCs w:val="24"/>
      <w:lang w:eastAsia="ar-SA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81E5A"/>
    <w:pPr>
      <w:spacing w:before="480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val="x-none"/>
    </w:rPr>
  </w:style>
  <w:style w:type="paragraph" w:styleId="Sumrio2">
    <w:name w:val="toc 2"/>
    <w:basedOn w:val="Normal"/>
    <w:next w:val="Normal"/>
    <w:autoRedefine/>
    <w:semiHidden/>
    <w:unhideWhenUsed/>
    <w:qFormat/>
    <w:rsid w:val="00F81E5A"/>
    <w:pPr>
      <w:spacing w:after="100"/>
      <w:ind w:left="220"/>
    </w:pPr>
    <w:rPr>
      <w:rFonts w:eastAsia="Times New Roman"/>
    </w:rPr>
  </w:style>
  <w:style w:type="paragraph" w:styleId="Sumrio1">
    <w:name w:val="toc 1"/>
    <w:basedOn w:val="Normal"/>
    <w:next w:val="Normal"/>
    <w:autoRedefine/>
    <w:unhideWhenUsed/>
    <w:qFormat/>
    <w:rsid w:val="00F81E5A"/>
    <w:pPr>
      <w:tabs>
        <w:tab w:val="right" w:leader="dot" w:pos="8494"/>
      </w:tabs>
      <w:spacing w:after="0"/>
    </w:pPr>
    <w:rPr>
      <w:rFonts w:ascii="Arial" w:eastAsia="Times New Roman" w:hAnsi="Arial" w:cs="Arial"/>
      <w:noProof/>
    </w:rPr>
  </w:style>
  <w:style w:type="paragraph" w:styleId="Sumrio3">
    <w:name w:val="toc 3"/>
    <w:basedOn w:val="Normal"/>
    <w:next w:val="Normal"/>
    <w:autoRedefine/>
    <w:semiHidden/>
    <w:unhideWhenUsed/>
    <w:qFormat/>
    <w:rsid w:val="00F81E5A"/>
    <w:pPr>
      <w:spacing w:after="100"/>
      <w:ind w:left="440"/>
    </w:pPr>
    <w:rPr>
      <w:rFonts w:eastAsia="Times New Roman"/>
    </w:rPr>
  </w:style>
  <w:style w:type="numbering" w:customStyle="1" w:styleId="Estilo2">
    <w:name w:val="Estilo2"/>
    <w:uiPriority w:val="99"/>
    <w:rsid w:val="00F81E5A"/>
    <w:pPr>
      <w:numPr>
        <w:numId w:val="3"/>
      </w:numPr>
    </w:pPr>
  </w:style>
  <w:style w:type="paragraph" w:styleId="Recuodecorpodetexto">
    <w:name w:val="Body Text Indent"/>
    <w:basedOn w:val="Normal"/>
    <w:link w:val="RecuodecorpodetextoChar"/>
    <w:semiHidden/>
    <w:unhideWhenUsed/>
    <w:rsid w:val="00F81E5A"/>
    <w:pPr>
      <w:suppressAutoHyphens/>
      <w:spacing w:after="120"/>
      <w:ind w:left="283"/>
      <w:jc w:val="both"/>
    </w:pPr>
    <w:rPr>
      <w:rFonts w:cs="Calibri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F81E5A"/>
    <w:rPr>
      <w:rFonts w:cs="Calibri"/>
      <w:sz w:val="22"/>
      <w:szCs w:val="22"/>
      <w:lang w:eastAsia="ar-SA"/>
    </w:rPr>
  </w:style>
  <w:style w:type="character" w:styleId="HiperlinkVisitado">
    <w:name w:val="FollowedHyperlink"/>
    <w:semiHidden/>
    <w:unhideWhenUsed/>
    <w:rsid w:val="00F81E5A"/>
    <w:rPr>
      <w:color w:val="800080"/>
      <w:u w:val="single"/>
    </w:rPr>
  </w:style>
  <w:style w:type="character" w:customStyle="1" w:styleId="apple-converted-space">
    <w:name w:val="apple-converted-space"/>
    <w:rsid w:val="00F81E5A"/>
  </w:style>
  <w:style w:type="character" w:customStyle="1" w:styleId="grame">
    <w:name w:val="grame"/>
    <w:rsid w:val="00F81E5A"/>
  </w:style>
  <w:style w:type="character" w:customStyle="1" w:styleId="spelle">
    <w:name w:val="spelle"/>
    <w:rsid w:val="00F81E5A"/>
  </w:style>
  <w:style w:type="paragraph" w:customStyle="1" w:styleId="Default1">
    <w:name w:val="Default1"/>
    <w:basedOn w:val="Default"/>
    <w:next w:val="Default"/>
    <w:rsid w:val="00F81E5A"/>
    <w:rPr>
      <w:rFonts w:eastAsia="Times New Roman"/>
      <w:color w:val="auto"/>
      <w:sz w:val="20"/>
    </w:rPr>
  </w:style>
  <w:style w:type="paragraph" w:styleId="Remissivo1">
    <w:name w:val="index 1"/>
    <w:basedOn w:val="Normal"/>
    <w:next w:val="Normal"/>
    <w:autoRedefine/>
    <w:semiHidden/>
    <w:rsid w:val="00F81E5A"/>
    <w:pPr>
      <w:spacing w:after="0" w:line="240" w:lineRule="auto"/>
      <w:ind w:left="24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2">
    <w:name w:val="index 2"/>
    <w:basedOn w:val="Normal"/>
    <w:next w:val="Normal"/>
    <w:autoRedefine/>
    <w:semiHidden/>
    <w:rsid w:val="00F81E5A"/>
    <w:pPr>
      <w:spacing w:after="0" w:line="240" w:lineRule="auto"/>
      <w:ind w:left="48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3">
    <w:name w:val="index 3"/>
    <w:basedOn w:val="Normal"/>
    <w:next w:val="Normal"/>
    <w:autoRedefine/>
    <w:semiHidden/>
    <w:rsid w:val="00F81E5A"/>
    <w:pPr>
      <w:spacing w:after="0" w:line="240" w:lineRule="auto"/>
      <w:ind w:left="72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4">
    <w:name w:val="index 4"/>
    <w:basedOn w:val="Normal"/>
    <w:next w:val="Normal"/>
    <w:autoRedefine/>
    <w:semiHidden/>
    <w:rsid w:val="00F81E5A"/>
    <w:pPr>
      <w:spacing w:after="0" w:line="240" w:lineRule="auto"/>
      <w:ind w:left="96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5">
    <w:name w:val="index 5"/>
    <w:basedOn w:val="Normal"/>
    <w:next w:val="Normal"/>
    <w:autoRedefine/>
    <w:semiHidden/>
    <w:rsid w:val="00F81E5A"/>
    <w:pPr>
      <w:spacing w:after="0" w:line="240" w:lineRule="auto"/>
      <w:ind w:left="120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6">
    <w:name w:val="index 6"/>
    <w:basedOn w:val="Normal"/>
    <w:next w:val="Normal"/>
    <w:autoRedefine/>
    <w:semiHidden/>
    <w:rsid w:val="00F81E5A"/>
    <w:pPr>
      <w:spacing w:after="0" w:line="240" w:lineRule="auto"/>
      <w:ind w:left="144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7">
    <w:name w:val="index 7"/>
    <w:basedOn w:val="Normal"/>
    <w:next w:val="Normal"/>
    <w:autoRedefine/>
    <w:semiHidden/>
    <w:rsid w:val="00F81E5A"/>
    <w:pPr>
      <w:spacing w:after="0" w:line="240" w:lineRule="auto"/>
      <w:ind w:left="168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8">
    <w:name w:val="index 8"/>
    <w:basedOn w:val="Normal"/>
    <w:next w:val="Normal"/>
    <w:autoRedefine/>
    <w:semiHidden/>
    <w:rsid w:val="00F81E5A"/>
    <w:pPr>
      <w:spacing w:after="0" w:line="240" w:lineRule="auto"/>
      <w:ind w:left="192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9">
    <w:name w:val="index 9"/>
    <w:basedOn w:val="Normal"/>
    <w:next w:val="Normal"/>
    <w:autoRedefine/>
    <w:semiHidden/>
    <w:rsid w:val="00F81E5A"/>
    <w:pPr>
      <w:spacing w:after="0" w:line="240" w:lineRule="auto"/>
      <w:ind w:left="216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Ttulodendiceremissivo">
    <w:name w:val="index heading"/>
    <w:basedOn w:val="Normal"/>
    <w:next w:val="Remissivo1"/>
    <w:semiHidden/>
    <w:rsid w:val="00F81E5A"/>
    <w:pPr>
      <w:spacing w:after="0" w:line="240" w:lineRule="auto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4">
    <w:name w:val="toc 4"/>
    <w:basedOn w:val="Normal"/>
    <w:next w:val="Normal"/>
    <w:autoRedefine/>
    <w:semiHidden/>
    <w:rsid w:val="00F81E5A"/>
    <w:pPr>
      <w:spacing w:after="0" w:line="240" w:lineRule="auto"/>
      <w:ind w:left="72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5">
    <w:name w:val="toc 5"/>
    <w:basedOn w:val="Normal"/>
    <w:next w:val="Normal"/>
    <w:autoRedefine/>
    <w:semiHidden/>
    <w:rsid w:val="00F81E5A"/>
    <w:pPr>
      <w:spacing w:after="0" w:line="240" w:lineRule="auto"/>
      <w:ind w:left="96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6">
    <w:name w:val="toc 6"/>
    <w:basedOn w:val="Normal"/>
    <w:next w:val="Normal"/>
    <w:autoRedefine/>
    <w:semiHidden/>
    <w:rsid w:val="00F81E5A"/>
    <w:pPr>
      <w:spacing w:after="0" w:line="240" w:lineRule="auto"/>
      <w:ind w:left="120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7">
    <w:name w:val="toc 7"/>
    <w:basedOn w:val="Normal"/>
    <w:next w:val="Normal"/>
    <w:autoRedefine/>
    <w:semiHidden/>
    <w:rsid w:val="00F81E5A"/>
    <w:pPr>
      <w:spacing w:after="0" w:line="240" w:lineRule="auto"/>
      <w:ind w:left="14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8">
    <w:name w:val="toc 8"/>
    <w:basedOn w:val="Normal"/>
    <w:next w:val="Normal"/>
    <w:autoRedefine/>
    <w:semiHidden/>
    <w:rsid w:val="00F81E5A"/>
    <w:pPr>
      <w:spacing w:after="0" w:line="240" w:lineRule="auto"/>
      <w:ind w:left="168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9">
    <w:name w:val="toc 9"/>
    <w:basedOn w:val="Normal"/>
    <w:next w:val="Normal"/>
    <w:autoRedefine/>
    <w:semiHidden/>
    <w:rsid w:val="00F81E5A"/>
    <w:pPr>
      <w:spacing w:after="0" w:line="240" w:lineRule="auto"/>
      <w:ind w:left="192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Corpodetexto2">
    <w:name w:val="Body Text 2"/>
    <w:basedOn w:val="Normal"/>
    <w:link w:val="Corpodetexto2Char"/>
    <w:semiHidden/>
    <w:rsid w:val="00F81E5A"/>
    <w:pPr>
      <w:autoSpaceDE w:val="0"/>
      <w:autoSpaceDN w:val="0"/>
      <w:adjustRightInd w:val="0"/>
      <w:spacing w:after="0" w:line="360" w:lineRule="auto"/>
      <w:jc w:val="both"/>
    </w:pPr>
    <w:rPr>
      <w:rFonts w:ascii="Arial" w:eastAsia="Times New Roman" w:hAnsi="Arial" w:cs="Arial"/>
      <w:color w:val="FF0000"/>
      <w:sz w:val="24"/>
      <w:szCs w:val="28"/>
      <w:lang w:eastAsia="pt-BR"/>
    </w:rPr>
  </w:style>
  <w:style w:type="character" w:customStyle="1" w:styleId="Corpodetexto2Char">
    <w:name w:val="Corpo de texto 2 Char"/>
    <w:basedOn w:val="Fontepargpadro"/>
    <w:link w:val="Corpodetexto2"/>
    <w:semiHidden/>
    <w:rsid w:val="00F81E5A"/>
    <w:rPr>
      <w:rFonts w:ascii="Arial" w:eastAsia="Times New Roman" w:hAnsi="Arial" w:cs="Arial"/>
      <w:color w:val="FF0000"/>
      <w:sz w:val="24"/>
      <w:szCs w:val="28"/>
    </w:rPr>
  </w:style>
  <w:style w:type="character" w:styleId="Nmerodepgina">
    <w:name w:val="page number"/>
    <w:semiHidden/>
    <w:rsid w:val="00F81E5A"/>
  </w:style>
  <w:style w:type="paragraph" w:styleId="Corpodetexto3">
    <w:name w:val="Body Text 3"/>
    <w:basedOn w:val="Normal"/>
    <w:link w:val="Corpodetexto3Char"/>
    <w:semiHidden/>
    <w:rsid w:val="00F81E5A"/>
    <w:pPr>
      <w:autoSpaceDE w:val="0"/>
      <w:autoSpaceDN w:val="0"/>
      <w:adjustRightInd w:val="0"/>
      <w:spacing w:after="0" w:line="360" w:lineRule="auto"/>
      <w:jc w:val="both"/>
    </w:pPr>
    <w:rPr>
      <w:rFonts w:ascii="Arial" w:eastAsia="Times New Roman" w:hAnsi="Arial" w:cs="Arial"/>
      <w:sz w:val="24"/>
      <w:szCs w:val="25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F81E5A"/>
    <w:rPr>
      <w:rFonts w:ascii="Arial" w:eastAsia="Times New Roman" w:hAnsi="Arial" w:cs="Arial"/>
      <w:sz w:val="24"/>
      <w:szCs w:val="25"/>
    </w:rPr>
  </w:style>
  <w:style w:type="character" w:customStyle="1" w:styleId="CharChar">
    <w:name w:val="Char Char"/>
    <w:semiHidden/>
    <w:rsid w:val="00F81E5A"/>
    <w:rPr>
      <w:rFonts w:ascii="Tahoma" w:hAnsi="Tahoma" w:cs="Tahoma"/>
      <w:b/>
      <w:bCs/>
      <w:color w:val="000000"/>
      <w:sz w:val="16"/>
      <w:szCs w:val="16"/>
    </w:rPr>
  </w:style>
  <w:style w:type="paragraph" w:styleId="MapadoDocumento">
    <w:name w:val="Document Map"/>
    <w:basedOn w:val="Normal"/>
    <w:link w:val="MapadoDocumentoChar"/>
    <w:semiHidden/>
    <w:rsid w:val="00F81E5A"/>
    <w:pPr>
      <w:shd w:val="clear" w:color="auto" w:fill="000080"/>
      <w:spacing w:after="0" w:line="240" w:lineRule="auto"/>
    </w:pPr>
    <w:rPr>
      <w:rFonts w:ascii="Tahoma" w:eastAsia="Times New Roman" w:hAnsi="Tahoma" w:cs="Tahoma"/>
      <w:b/>
      <w:bCs/>
      <w:color w:val="000000"/>
      <w:sz w:val="20"/>
      <w:szCs w:val="20"/>
      <w:lang w:eastAsia="pt-BR"/>
    </w:rPr>
  </w:style>
  <w:style w:type="character" w:customStyle="1" w:styleId="MapadoDocumentoChar">
    <w:name w:val="Mapa do Documento Char"/>
    <w:basedOn w:val="Fontepargpadro"/>
    <w:link w:val="MapadoDocumento"/>
    <w:semiHidden/>
    <w:rsid w:val="00F81E5A"/>
    <w:rPr>
      <w:rFonts w:ascii="Tahoma" w:eastAsia="Times New Roman" w:hAnsi="Tahoma" w:cs="Tahoma"/>
      <w:b/>
      <w:bCs/>
      <w:color w:val="000000"/>
      <w:shd w:val="clear" w:color="auto" w:fill="000080"/>
    </w:rPr>
  </w:style>
  <w:style w:type="character" w:customStyle="1" w:styleId="CharChar2">
    <w:name w:val="Char Char2"/>
    <w:semiHidden/>
    <w:rsid w:val="00F81E5A"/>
    <w:rPr>
      <w:lang w:val="pt-BR" w:eastAsia="pt-BR" w:bidi="ar-SA"/>
    </w:rPr>
  </w:style>
  <w:style w:type="paragraph" w:customStyle="1" w:styleId="artigo">
    <w:name w:val="artigo"/>
    <w:basedOn w:val="Normal"/>
    <w:rsid w:val="00F81E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rag2">
    <w:name w:val="parag2"/>
    <w:basedOn w:val="Normal"/>
    <w:rsid w:val="00F81E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20B0E-A404-47E7-8930-04C838757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165</TotalTime>
  <Pages>19</Pages>
  <Words>3322</Words>
  <Characters>17943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36</cp:revision>
  <cp:lastPrinted>2016-02-22T16:24:00Z</cp:lastPrinted>
  <dcterms:created xsi:type="dcterms:W3CDTF">2017-11-23T13:08:00Z</dcterms:created>
  <dcterms:modified xsi:type="dcterms:W3CDTF">2025-10-07T17:57:00Z</dcterms:modified>
</cp:coreProperties>
</file>