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F0F" w:rsidRPr="005C5C44" w:rsidRDefault="00216F0F" w:rsidP="00A050B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6BD1" w:rsidRPr="005C5C44" w:rsidRDefault="00907FE8" w:rsidP="00D96B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C5C44">
        <w:rPr>
          <w:rFonts w:ascii="Times New Roman" w:hAnsi="Times New Roman"/>
          <w:b/>
          <w:sz w:val="24"/>
          <w:szCs w:val="24"/>
        </w:rPr>
        <w:t xml:space="preserve">PROJETO DE </w:t>
      </w:r>
      <w:r w:rsidR="00D96BD1" w:rsidRPr="005C5C44">
        <w:rPr>
          <w:rFonts w:ascii="Times New Roman" w:hAnsi="Times New Roman"/>
          <w:b/>
          <w:sz w:val="24"/>
          <w:szCs w:val="24"/>
        </w:rPr>
        <w:t xml:space="preserve">LEI </w:t>
      </w:r>
      <w:r w:rsidR="00E3739D" w:rsidRPr="005C5C44">
        <w:rPr>
          <w:rFonts w:ascii="Times New Roman" w:hAnsi="Times New Roman"/>
          <w:b/>
          <w:sz w:val="24"/>
          <w:szCs w:val="24"/>
        </w:rPr>
        <w:t>COMPLEMENTAR</w:t>
      </w:r>
      <w:r w:rsidRPr="005C5C44">
        <w:rPr>
          <w:rFonts w:ascii="Times New Roman" w:hAnsi="Times New Roman"/>
          <w:b/>
          <w:sz w:val="24"/>
          <w:szCs w:val="24"/>
        </w:rPr>
        <w:t xml:space="preserve"> Nº </w:t>
      </w:r>
      <w:r w:rsidRPr="005C5C44">
        <w:rPr>
          <w:rFonts w:ascii="Times New Roman" w:hAnsi="Times New Roman"/>
          <w:b/>
          <w:sz w:val="24"/>
          <w:szCs w:val="24"/>
        </w:rPr>
        <w:softHyphen/>
      </w:r>
      <w:r w:rsidRPr="005C5C44">
        <w:rPr>
          <w:rFonts w:ascii="Times New Roman" w:hAnsi="Times New Roman"/>
          <w:b/>
          <w:sz w:val="24"/>
          <w:szCs w:val="24"/>
        </w:rPr>
        <w:softHyphen/>
      </w:r>
      <w:r w:rsidRPr="005C5C44">
        <w:rPr>
          <w:rFonts w:ascii="Times New Roman" w:hAnsi="Times New Roman"/>
          <w:b/>
          <w:sz w:val="24"/>
          <w:szCs w:val="24"/>
        </w:rPr>
        <w:softHyphen/>
      </w:r>
      <w:r w:rsidRPr="005C5C44">
        <w:rPr>
          <w:rFonts w:ascii="Times New Roman" w:hAnsi="Times New Roman"/>
          <w:b/>
          <w:sz w:val="24"/>
          <w:szCs w:val="24"/>
        </w:rPr>
        <w:softHyphen/>
      </w:r>
      <w:r w:rsidRPr="005C5C44">
        <w:rPr>
          <w:rFonts w:ascii="Times New Roman" w:hAnsi="Times New Roman"/>
          <w:b/>
          <w:sz w:val="24"/>
          <w:szCs w:val="24"/>
        </w:rPr>
        <w:softHyphen/>
      </w:r>
      <w:r w:rsidRPr="005C5C44">
        <w:rPr>
          <w:rFonts w:ascii="Times New Roman" w:hAnsi="Times New Roman"/>
          <w:b/>
          <w:sz w:val="24"/>
          <w:szCs w:val="24"/>
        </w:rPr>
        <w:softHyphen/>
      </w:r>
      <w:r w:rsidRPr="005C5C44">
        <w:rPr>
          <w:rFonts w:ascii="Times New Roman" w:hAnsi="Times New Roman"/>
          <w:b/>
          <w:sz w:val="24"/>
          <w:szCs w:val="24"/>
        </w:rPr>
        <w:softHyphen/>
      </w:r>
      <w:r w:rsidRPr="005C5C44">
        <w:rPr>
          <w:rFonts w:ascii="Times New Roman" w:hAnsi="Times New Roman"/>
          <w:b/>
          <w:sz w:val="24"/>
          <w:szCs w:val="24"/>
        </w:rPr>
        <w:softHyphen/>
      </w:r>
      <w:r w:rsidRPr="005C5C44">
        <w:rPr>
          <w:rFonts w:ascii="Times New Roman" w:hAnsi="Times New Roman"/>
          <w:b/>
          <w:sz w:val="24"/>
          <w:szCs w:val="24"/>
        </w:rPr>
        <w:softHyphen/>
      </w:r>
      <w:r w:rsidRPr="005C5C44">
        <w:rPr>
          <w:rFonts w:ascii="Times New Roman" w:hAnsi="Times New Roman"/>
          <w:b/>
          <w:sz w:val="24"/>
          <w:szCs w:val="24"/>
        </w:rPr>
        <w:softHyphen/>
      </w:r>
      <w:r w:rsidR="005C5C44">
        <w:rPr>
          <w:rFonts w:ascii="Times New Roman" w:hAnsi="Times New Roman"/>
          <w:b/>
          <w:sz w:val="24"/>
          <w:szCs w:val="24"/>
        </w:rPr>
        <w:t>74</w:t>
      </w:r>
      <w:r w:rsidR="00A050BE" w:rsidRPr="005C5C44">
        <w:rPr>
          <w:rFonts w:ascii="Times New Roman" w:hAnsi="Times New Roman"/>
          <w:b/>
          <w:sz w:val="24"/>
          <w:szCs w:val="24"/>
        </w:rPr>
        <w:t xml:space="preserve"> </w:t>
      </w:r>
      <w:r w:rsidRPr="005C5C44">
        <w:rPr>
          <w:rFonts w:ascii="Times New Roman" w:hAnsi="Times New Roman"/>
          <w:b/>
          <w:sz w:val="24"/>
          <w:szCs w:val="24"/>
        </w:rPr>
        <w:t xml:space="preserve">DE </w:t>
      </w:r>
      <w:r w:rsidR="005C5C44">
        <w:rPr>
          <w:rFonts w:ascii="Times New Roman" w:hAnsi="Times New Roman"/>
          <w:b/>
          <w:sz w:val="24"/>
          <w:szCs w:val="24"/>
        </w:rPr>
        <w:t>0</w:t>
      </w:r>
      <w:r w:rsidR="009E4B29">
        <w:rPr>
          <w:rFonts w:ascii="Times New Roman" w:hAnsi="Times New Roman"/>
          <w:b/>
          <w:sz w:val="24"/>
          <w:szCs w:val="24"/>
        </w:rPr>
        <w:t>2</w:t>
      </w:r>
      <w:r w:rsidR="00793D16" w:rsidRPr="005C5C44">
        <w:rPr>
          <w:rFonts w:ascii="Times New Roman" w:hAnsi="Times New Roman"/>
          <w:b/>
          <w:sz w:val="24"/>
          <w:szCs w:val="24"/>
        </w:rPr>
        <w:t xml:space="preserve"> DE </w:t>
      </w:r>
      <w:r w:rsidR="005C5C44">
        <w:rPr>
          <w:rFonts w:ascii="Times New Roman" w:hAnsi="Times New Roman"/>
          <w:b/>
          <w:sz w:val="24"/>
          <w:szCs w:val="24"/>
        </w:rPr>
        <w:t>OUTRUBRO</w:t>
      </w:r>
      <w:r w:rsidR="00793D16" w:rsidRPr="005C5C44">
        <w:rPr>
          <w:rFonts w:ascii="Times New Roman" w:hAnsi="Times New Roman"/>
          <w:b/>
          <w:sz w:val="24"/>
          <w:szCs w:val="24"/>
        </w:rPr>
        <w:t xml:space="preserve"> DE 2025</w:t>
      </w:r>
      <w:r w:rsidRPr="005C5C44">
        <w:rPr>
          <w:rFonts w:ascii="Times New Roman" w:hAnsi="Times New Roman"/>
          <w:b/>
          <w:sz w:val="24"/>
          <w:szCs w:val="24"/>
        </w:rPr>
        <w:t>.</w:t>
      </w:r>
    </w:p>
    <w:p w:rsidR="00D96BD1" w:rsidRPr="005C5C44" w:rsidRDefault="00D96BD1" w:rsidP="00D96B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96BD1" w:rsidRPr="005C5C44" w:rsidRDefault="00D96BD1" w:rsidP="00D96BD1">
      <w:pPr>
        <w:pStyle w:val="Corpodetexto"/>
        <w:spacing w:after="0" w:line="240" w:lineRule="auto"/>
        <w:ind w:left="340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6F0F" w:rsidRPr="005C5C44" w:rsidRDefault="00216F0F" w:rsidP="00D96BD1">
      <w:pPr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D96BD1" w:rsidRPr="005C5C44" w:rsidRDefault="009E4B29" w:rsidP="009E4B29">
      <w:pPr>
        <w:spacing w:after="0" w:line="240" w:lineRule="auto"/>
        <w:ind w:left="3969"/>
        <w:jc w:val="both"/>
        <w:rPr>
          <w:rFonts w:ascii="Times New Roman" w:hAnsi="Times New Roman"/>
          <w:sz w:val="24"/>
          <w:szCs w:val="24"/>
        </w:rPr>
      </w:pPr>
      <w:r w:rsidRPr="009E4B29">
        <w:rPr>
          <w:rFonts w:ascii="Times New Roman" w:hAnsi="Times New Roman"/>
          <w:b/>
          <w:color w:val="000000"/>
          <w:sz w:val="24"/>
          <w:szCs w:val="24"/>
        </w:rPr>
        <w:t>Dispõe sobre alteração da Lei Complementar Nº 42/2018 que institui o Código Municipal de Meio Ambiente, relativo ao Licenciamento Ambiental e dá outras providencias.</w:t>
      </w:r>
    </w:p>
    <w:p w:rsidR="00216F0F" w:rsidRPr="005C5C44" w:rsidRDefault="00216F0F" w:rsidP="00F5665B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</w:p>
    <w:p w:rsidR="00D96BD1" w:rsidRPr="005C5C44" w:rsidRDefault="00D96BD1" w:rsidP="00F5665B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  <w:r w:rsidRPr="005C5C44">
        <w:rPr>
          <w:rFonts w:ascii="Times New Roman" w:hAnsi="Times New Roman"/>
          <w:sz w:val="24"/>
          <w:szCs w:val="24"/>
        </w:rPr>
        <w:t>O</w:t>
      </w:r>
      <w:r w:rsidR="00216F0F" w:rsidRPr="005C5C44">
        <w:rPr>
          <w:rFonts w:ascii="Times New Roman" w:hAnsi="Times New Roman"/>
          <w:sz w:val="24"/>
          <w:szCs w:val="24"/>
        </w:rPr>
        <w:t xml:space="preserve"> </w:t>
      </w:r>
      <w:r w:rsidRPr="005C5C44">
        <w:rPr>
          <w:rFonts w:ascii="Times New Roman" w:hAnsi="Times New Roman"/>
          <w:sz w:val="24"/>
          <w:szCs w:val="24"/>
        </w:rPr>
        <w:t xml:space="preserve">Excelentíssimo Senhor, </w:t>
      </w:r>
      <w:r w:rsidR="00D90184" w:rsidRPr="005C5C44">
        <w:rPr>
          <w:rFonts w:ascii="Times New Roman" w:hAnsi="Times New Roman"/>
          <w:sz w:val="24"/>
          <w:szCs w:val="24"/>
        </w:rPr>
        <w:t>ADEMIR FELÍCIO GARCIA</w:t>
      </w:r>
      <w:r w:rsidRPr="005C5C44">
        <w:rPr>
          <w:rFonts w:ascii="Times New Roman" w:hAnsi="Times New Roman"/>
          <w:sz w:val="24"/>
          <w:szCs w:val="24"/>
        </w:rPr>
        <w:t xml:space="preserve">, Prefeito Municipal de </w:t>
      </w:r>
      <w:proofErr w:type="spellStart"/>
      <w:r w:rsidRPr="005C5C44">
        <w:rPr>
          <w:rFonts w:ascii="Times New Roman" w:hAnsi="Times New Roman"/>
          <w:sz w:val="24"/>
          <w:szCs w:val="24"/>
        </w:rPr>
        <w:t>Figueiróp</w:t>
      </w:r>
      <w:r w:rsidR="00216F0F" w:rsidRPr="005C5C44">
        <w:rPr>
          <w:rFonts w:ascii="Times New Roman" w:hAnsi="Times New Roman"/>
          <w:sz w:val="24"/>
          <w:szCs w:val="24"/>
        </w:rPr>
        <w:t>olis</w:t>
      </w:r>
      <w:proofErr w:type="spellEnd"/>
      <w:r w:rsidR="00216F0F" w:rsidRPr="005C5C44">
        <w:rPr>
          <w:rFonts w:ascii="Times New Roman" w:hAnsi="Times New Roman"/>
          <w:sz w:val="24"/>
          <w:szCs w:val="24"/>
        </w:rPr>
        <w:t xml:space="preserve"> d</w:t>
      </w:r>
      <w:r w:rsidRPr="005C5C44">
        <w:rPr>
          <w:rFonts w:ascii="Times New Roman" w:hAnsi="Times New Roman"/>
          <w:sz w:val="24"/>
          <w:szCs w:val="24"/>
        </w:rPr>
        <w:t>’Oeste-MT, no uso de suas atribuições legais. Faz saber que a Câm</w:t>
      </w:r>
      <w:r w:rsidR="005B0544" w:rsidRPr="005C5C44">
        <w:rPr>
          <w:rFonts w:ascii="Times New Roman" w:hAnsi="Times New Roman"/>
          <w:sz w:val="24"/>
          <w:szCs w:val="24"/>
        </w:rPr>
        <w:t xml:space="preserve">ara Municipal de </w:t>
      </w:r>
      <w:proofErr w:type="spellStart"/>
      <w:r w:rsidR="005B0544" w:rsidRPr="005C5C44">
        <w:rPr>
          <w:rFonts w:ascii="Times New Roman" w:hAnsi="Times New Roman"/>
          <w:sz w:val="24"/>
          <w:szCs w:val="24"/>
        </w:rPr>
        <w:t>Figueirópolis</w:t>
      </w:r>
      <w:proofErr w:type="spellEnd"/>
      <w:r w:rsidR="005B0544" w:rsidRPr="005C5C44">
        <w:rPr>
          <w:rFonts w:ascii="Times New Roman" w:hAnsi="Times New Roman"/>
          <w:sz w:val="24"/>
          <w:szCs w:val="24"/>
        </w:rPr>
        <w:t xml:space="preserve"> d</w:t>
      </w:r>
      <w:r w:rsidRPr="005C5C44">
        <w:rPr>
          <w:rFonts w:ascii="Times New Roman" w:hAnsi="Times New Roman"/>
          <w:sz w:val="24"/>
          <w:szCs w:val="24"/>
        </w:rPr>
        <w:t>’Oeste-MT aprovou e eu sanciono a seguinte lei.</w:t>
      </w:r>
    </w:p>
    <w:p w:rsidR="005C5C44" w:rsidRPr="005C5C44" w:rsidRDefault="005C5C44" w:rsidP="005C5C44">
      <w:pPr>
        <w:pStyle w:val="Default"/>
        <w:spacing w:before="100" w:after="100"/>
        <w:rPr>
          <w:b/>
          <w:bCs/>
          <w:color w:val="auto"/>
        </w:rPr>
      </w:pPr>
    </w:p>
    <w:p w:rsidR="005C5C44" w:rsidRPr="005C5C44" w:rsidRDefault="005C5C44" w:rsidP="005C5C44">
      <w:pPr>
        <w:pStyle w:val="Default"/>
        <w:spacing w:before="100" w:after="100"/>
        <w:jc w:val="both"/>
        <w:rPr>
          <w:bCs/>
          <w:color w:val="auto"/>
        </w:rPr>
      </w:pPr>
      <w:r w:rsidRPr="005C5C44">
        <w:rPr>
          <w:b/>
          <w:bCs/>
          <w:color w:val="auto"/>
        </w:rPr>
        <w:t xml:space="preserve">Art. 1º. </w:t>
      </w:r>
      <w:r w:rsidRPr="005C5C44">
        <w:rPr>
          <w:bCs/>
          <w:color w:val="auto"/>
        </w:rPr>
        <w:t>Fica alterado o Artigo 29 e 31 da Lei Complementar Nº 42/2018, Código Municipal do Meio Ambiente que passa a viger com a seguinte redação:</w:t>
      </w:r>
    </w:p>
    <w:p w:rsidR="005C5C44" w:rsidRPr="005C5C44" w:rsidRDefault="005C5C44" w:rsidP="005C5C44">
      <w:pPr>
        <w:pStyle w:val="Default"/>
        <w:spacing w:before="100" w:after="100"/>
        <w:jc w:val="both"/>
        <w:rPr>
          <w:color w:val="auto"/>
        </w:rPr>
      </w:pPr>
    </w:p>
    <w:p w:rsidR="005C5C44" w:rsidRPr="005C5C44" w:rsidRDefault="005C5C44" w:rsidP="005C5C44">
      <w:pPr>
        <w:pStyle w:val="Default"/>
        <w:spacing w:before="100" w:after="100"/>
        <w:ind w:left="851"/>
        <w:jc w:val="center"/>
        <w:rPr>
          <w:color w:val="auto"/>
        </w:rPr>
      </w:pPr>
      <w:r w:rsidRPr="005C5C44">
        <w:rPr>
          <w:b/>
          <w:bCs/>
          <w:color w:val="auto"/>
        </w:rPr>
        <w:t>SEÇÃO VI</w:t>
      </w:r>
    </w:p>
    <w:p w:rsidR="005C5C44" w:rsidRPr="005C5C44" w:rsidRDefault="005C5C44" w:rsidP="005C5C44">
      <w:pPr>
        <w:pStyle w:val="Default"/>
        <w:spacing w:before="100" w:after="100"/>
        <w:ind w:left="851"/>
        <w:jc w:val="center"/>
        <w:rPr>
          <w:color w:val="auto"/>
        </w:rPr>
      </w:pPr>
      <w:r w:rsidRPr="005C5C44">
        <w:rPr>
          <w:b/>
          <w:bCs/>
          <w:color w:val="auto"/>
        </w:rPr>
        <w:t>DO LICENCIAMENTO AMBIENTAL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t xml:space="preserve">Art. 29. </w:t>
      </w:r>
      <w:r w:rsidRPr="005C5C44">
        <w:rPr>
          <w:color w:val="auto"/>
        </w:rPr>
        <w:t xml:space="preserve">O Município, no exercício de sua competência, expedirá as seguintes licenças, de caráter obrigatório, respeitadas as competências estadual e federal: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I- Licença Prévia (LP): será concedida na fase preliminar do planejamento do empreendimento ou atividade aprovando sua localização e concepção, atestando a viabilidade ambiental, devendo ser observados os planos municipais, estaduais e federais de uso dos recursos naturais e estabelecendo os requisitos básicos e condicionantes a serem atendidos nas próximas fases de sua implementação;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II- Licença de Instalação (LI): autorizará a instalação do empreendimento ou atividade de acordo com as especificações constantes dos planos, programas e projetos aprovados, incluindo as medidas de controle ambiental e demais condicionantes;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III- Licença de Operação (LO): será concedida depois de cumpridas todas as exigências feitas por ocasião da expedição da LI, autorizando o início do empreendimento ou atividade licenciada e o funcionamento de seus equipamentos de controle ambiental, de acordo com o previsto nas Licenças Prévias (LP) e de Instalação (LI);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IV- Autorização Ambiental (AA): será concedida, na forma do regulamento, estabelecendo as condições de realização ou operação de empreendimentos, atividades, cortes de árvores, pesquisas e serviços de caráter temporário ou para </w:t>
      </w:r>
      <w:r w:rsidRPr="005C5C44">
        <w:rPr>
          <w:color w:val="auto"/>
        </w:rPr>
        <w:lastRenderedPageBreak/>
        <w:t xml:space="preserve">execução de obras que não caracterizem instalações permanentes. Caso o empreendimento, atividade, pesquisa, serviço ou obra de caráter temporário, passe a configurar situação permanente, será exigido o licenciamento ambiental correspondente; </w:t>
      </w:r>
    </w:p>
    <w:p w:rsidR="005C5C44" w:rsidRPr="005C5C44" w:rsidRDefault="005C5C44" w:rsidP="005C5C44">
      <w:pPr>
        <w:pStyle w:val="Default"/>
        <w:spacing w:after="100" w:afterAutospacing="1"/>
        <w:ind w:left="851"/>
        <w:jc w:val="both"/>
        <w:rPr>
          <w:color w:val="auto"/>
        </w:rPr>
      </w:pPr>
      <w:r w:rsidRPr="005C5C44">
        <w:rPr>
          <w:color w:val="auto"/>
        </w:rPr>
        <w:t>V– Licença Especial (LE): Destina-se a permitir a ocorrência de Eventos Especiais assim considerados: o corte de árvores, a utilização de explosivos na construção civil e na extração de minerais, festejos populares, serviços de coleta e transporte de resíduos sólidos e líquidos industriais, colocação de veículos de propaganda e/ou publicidade, entre outros.</w:t>
      </w:r>
    </w:p>
    <w:p w:rsidR="005C5C44" w:rsidRPr="005C5C44" w:rsidRDefault="005C5C44" w:rsidP="005C5C44">
      <w:pPr>
        <w:pStyle w:val="Default"/>
        <w:spacing w:after="100" w:afterAutospacing="1"/>
        <w:ind w:left="851"/>
        <w:jc w:val="both"/>
        <w:rPr>
          <w:color w:val="auto"/>
        </w:rPr>
      </w:pPr>
      <w:r w:rsidRPr="005C5C44">
        <w:rPr>
          <w:color w:val="auto"/>
        </w:rPr>
        <w:t>VI - Licença por Adesão e Compromisso (LAC): licença que autoriza a instalação e a operação de atividade ou empreendimento considerado de reduzido impacto ambiental, mediante apresentação de projeto com anotação de responsabilidade técnica ou equivalente, ou ainda projeto elaborado por entidades públicas de pesquisa e fomento, e adesão e compromisso do empreendedor aos requisitos pré-estabelecidos pela autoridade licenciadora;</w:t>
      </w:r>
    </w:p>
    <w:p w:rsidR="005C5C44" w:rsidRPr="005C5C44" w:rsidRDefault="005C5C44" w:rsidP="005C5C44">
      <w:pPr>
        <w:pStyle w:val="Default"/>
        <w:spacing w:after="100" w:afterAutospacing="1"/>
        <w:ind w:left="851"/>
        <w:jc w:val="both"/>
        <w:rPr>
          <w:color w:val="auto"/>
        </w:rPr>
      </w:pPr>
      <w:r w:rsidRPr="005C5C44">
        <w:rPr>
          <w:color w:val="auto"/>
        </w:rPr>
        <w:t>VII - Licença Ambiental Simplificada (LAS): licença que avalia de forma simplificada a localização, autoriza a instalação e a operação de atividade ou empreendimento, aprova as ações de controle e monitoramento ambiental e estabelece condicionantes ambientais para a sua instalação e operação, na forma do regulamento.</w:t>
      </w:r>
    </w:p>
    <w:p w:rsidR="005C5C44" w:rsidRPr="005C5C44" w:rsidRDefault="005C5C44" w:rsidP="005C5C44">
      <w:pPr>
        <w:autoSpaceDE w:val="0"/>
        <w:autoSpaceDN w:val="0"/>
        <w:adjustRightInd w:val="0"/>
        <w:spacing w:after="100" w:afterAutospacing="1" w:line="240" w:lineRule="auto"/>
        <w:ind w:left="851"/>
        <w:jc w:val="both"/>
        <w:rPr>
          <w:rFonts w:ascii="Times New Roman" w:hAnsi="Times New Roman"/>
          <w:color w:val="333333"/>
          <w:sz w:val="24"/>
          <w:szCs w:val="24"/>
        </w:rPr>
      </w:pPr>
      <w:r w:rsidRPr="005C5C44">
        <w:rPr>
          <w:rFonts w:ascii="Times New Roman" w:hAnsi="Times New Roman"/>
          <w:b/>
          <w:color w:val="333333"/>
          <w:sz w:val="24"/>
          <w:szCs w:val="24"/>
        </w:rPr>
        <w:t>§ 1º.</w:t>
      </w:r>
      <w:r w:rsidRPr="005C5C44">
        <w:rPr>
          <w:rFonts w:ascii="Times New Roman" w:hAnsi="Times New Roman"/>
          <w:color w:val="333333"/>
          <w:sz w:val="24"/>
          <w:szCs w:val="24"/>
        </w:rPr>
        <w:t xml:space="preserve"> As Licenças poderão ser transferidas para outro proprietário, desde que as mesmas estejam dentro do prazo de validade e não tenha havido mudança na atividade inicial licenciada;</w:t>
      </w:r>
    </w:p>
    <w:p w:rsidR="005C5C44" w:rsidRPr="005C5C44" w:rsidRDefault="005C5C44" w:rsidP="005C5C44">
      <w:pPr>
        <w:autoSpaceDE w:val="0"/>
        <w:autoSpaceDN w:val="0"/>
        <w:adjustRightInd w:val="0"/>
        <w:spacing w:after="100" w:afterAutospacing="1" w:line="240" w:lineRule="auto"/>
        <w:ind w:left="851"/>
        <w:jc w:val="both"/>
        <w:rPr>
          <w:rFonts w:ascii="Times New Roman" w:hAnsi="Times New Roman"/>
          <w:color w:val="333333"/>
          <w:sz w:val="24"/>
          <w:szCs w:val="24"/>
        </w:rPr>
      </w:pPr>
      <w:r w:rsidRPr="005C5C44">
        <w:rPr>
          <w:rFonts w:ascii="Times New Roman" w:hAnsi="Times New Roman"/>
          <w:b/>
          <w:color w:val="333333"/>
          <w:sz w:val="24"/>
          <w:szCs w:val="24"/>
        </w:rPr>
        <w:t>§ 2º</w:t>
      </w:r>
      <w:r w:rsidRPr="005C5C44">
        <w:rPr>
          <w:rFonts w:ascii="Times New Roman" w:hAnsi="Times New Roman"/>
          <w:color w:val="333333"/>
          <w:sz w:val="24"/>
          <w:szCs w:val="24"/>
        </w:rPr>
        <w:t xml:space="preserve">. O Município de FIGUEIRÓPOLIS D`OESTE-MT realizará o licenciamento ambiental das atividades elencadas como sujeitas ao licenciamento e controle </w:t>
      </w:r>
      <w:proofErr w:type="gramStart"/>
      <w:r w:rsidRPr="005C5C44">
        <w:rPr>
          <w:rFonts w:ascii="Times New Roman" w:hAnsi="Times New Roman"/>
          <w:color w:val="333333"/>
          <w:sz w:val="24"/>
          <w:szCs w:val="24"/>
        </w:rPr>
        <w:t>ambiental constantes</w:t>
      </w:r>
      <w:proofErr w:type="gramEnd"/>
      <w:r w:rsidRPr="005C5C44">
        <w:rPr>
          <w:rFonts w:ascii="Times New Roman" w:hAnsi="Times New Roman"/>
          <w:color w:val="333333"/>
          <w:sz w:val="24"/>
          <w:szCs w:val="24"/>
        </w:rPr>
        <w:t xml:space="preserve"> do Anexo Único da Resolução CONSEMA nº 41/2021 ou outra que sucede-la, e ainda outras atividades autorizadas pelo Órgão Estadual do Meio Ambiente, cujos efeitos restringem-se ao território municipal.</w:t>
      </w:r>
    </w:p>
    <w:p w:rsidR="005C5C44" w:rsidRPr="005C5C44" w:rsidRDefault="005C5C44" w:rsidP="005C5C44">
      <w:pPr>
        <w:autoSpaceDE w:val="0"/>
        <w:autoSpaceDN w:val="0"/>
        <w:adjustRightInd w:val="0"/>
        <w:spacing w:after="100" w:afterAutospacing="1" w:line="240" w:lineRule="auto"/>
        <w:ind w:left="851"/>
        <w:jc w:val="both"/>
        <w:rPr>
          <w:rFonts w:ascii="Times New Roman" w:hAnsi="Times New Roman"/>
          <w:color w:val="333333"/>
          <w:sz w:val="24"/>
          <w:szCs w:val="24"/>
        </w:rPr>
      </w:pPr>
      <w:r w:rsidRPr="005C5C44">
        <w:rPr>
          <w:rFonts w:ascii="Times New Roman" w:hAnsi="Times New Roman"/>
          <w:b/>
          <w:color w:val="333333"/>
          <w:sz w:val="24"/>
          <w:szCs w:val="24"/>
        </w:rPr>
        <w:t>§ 3º</w:t>
      </w:r>
      <w:r w:rsidRPr="005C5C44">
        <w:rPr>
          <w:rFonts w:ascii="Times New Roman" w:hAnsi="Times New Roman"/>
          <w:color w:val="333333"/>
          <w:sz w:val="24"/>
          <w:szCs w:val="24"/>
        </w:rPr>
        <w:t>. A análise do processo de licenciamento ambiental far-se-á pelo Analista Ambiental, agente público lotado no quadro funcional da Prefeitura, ou do Consórcio Intermunicipal, com curso superior que o habilite para o exercício da função, ou que seja disponibilizado através do Consórcio para o exercício das mesmas funções.</w:t>
      </w:r>
    </w:p>
    <w:p w:rsidR="005C5C44" w:rsidRPr="005C5C44" w:rsidRDefault="005C5C44" w:rsidP="005C5C44">
      <w:pPr>
        <w:autoSpaceDE w:val="0"/>
        <w:autoSpaceDN w:val="0"/>
        <w:adjustRightInd w:val="0"/>
        <w:spacing w:after="100" w:afterAutospacing="1" w:line="240" w:lineRule="auto"/>
        <w:ind w:left="851"/>
        <w:jc w:val="both"/>
        <w:rPr>
          <w:rFonts w:ascii="Times New Roman" w:hAnsi="Times New Roman"/>
          <w:color w:val="333333"/>
          <w:sz w:val="24"/>
          <w:szCs w:val="24"/>
        </w:rPr>
      </w:pPr>
      <w:r w:rsidRPr="005C5C44">
        <w:rPr>
          <w:rFonts w:ascii="Times New Roman" w:hAnsi="Times New Roman"/>
          <w:b/>
          <w:color w:val="333333"/>
          <w:sz w:val="24"/>
          <w:szCs w:val="24"/>
        </w:rPr>
        <w:t>§ 4º</w:t>
      </w:r>
      <w:r w:rsidRPr="005C5C44">
        <w:rPr>
          <w:rFonts w:ascii="Times New Roman" w:hAnsi="Times New Roman"/>
          <w:color w:val="333333"/>
          <w:sz w:val="24"/>
          <w:szCs w:val="24"/>
        </w:rPr>
        <w:t>. O Município de FIGUEIRÓPOLIS D`OESTE-MT poderá celebrar Termo de Cooperação Técnica para a formação de seu quadro funcional, com os demais Municípios do Consórcio Intermunicipal, e/ou instituições de ensino superior, ou outros órgãos de ensino e pesquisa para a análise e decisão no processo de licenciamento ambiental.</w:t>
      </w:r>
    </w:p>
    <w:p w:rsidR="005C5C44" w:rsidRPr="005C5C44" w:rsidRDefault="005C5C44" w:rsidP="005C5C44">
      <w:pPr>
        <w:autoSpaceDE w:val="0"/>
        <w:autoSpaceDN w:val="0"/>
        <w:adjustRightInd w:val="0"/>
        <w:spacing w:after="100" w:afterAutospacing="1" w:line="240" w:lineRule="auto"/>
        <w:ind w:left="851"/>
        <w:jc w:val="both"/>
        <w:rPr>
          <w:rFonts w:ascii="Times New Roman" w:hAnsi="Times New Roman"/>
          <w:color w:val="333333"/>
          <w:sz w:val="24"/>
          <w:szCs w:val="24"/>
        </w:rPr>
      </w:pPr>
      <w:r w:rsidRPr="005C5C44">
        <w:rPr>
          <w:rFonts w:ascii="Times New Roman" w:hAnsi="Times New Roman"/>
          <w:b/>
          <w:color w:val="333333"/>
          <w:sz w:val="24"/>
          <w:szCs w:val="24"/>
        </w:rPr>
        <w:lastRenderedPageBreak/>
        <w:t>§ 5º</w:t>
      </w:r>
      <w:r w:rsidRPr="005C5C44">
        <w:rPr>
          <w:rFonts w:ascii="Times New Roman" w:hAnsi="Times New Roman"/>
          <w:color w:val="333333"/>
          <w:sz w:val="24"/>
          <w:szCs w:val="24"/>
        </w:rPr>
        <w:t>. As etapas do processo de licenciamento ambiental serão definidas conforme a complexidade do empreendimento e/ou atividade, sendo regulamentado por ato do Órgão Municipal de Meio Ambiente.</w:t>
      </w:r>
    </w:p>
    <w:p w:rsidR="005C5C44" w:rsidRPr="005C5C44" w:rsidRDefault="005C5C44" w:rsidP="005C5C44">
      <w:pPr>
        <w:autoSpaceDE w:val="0"/>
        <w:autoSpaceDN w:val="0"/>
        <w:adjustRightInd w:val="0"/>
        <w:spacing w:after="100" w:afterAutospacing="1" w:line="240" w:lineRule="auto"/>
        <w:ind w:left="851"/>
        <w:jc w:val="both"/>
        <w:rPr>
          <w:rFonts w:ascii="Times New Roman" w:hAnsi="Times New Roman"/>
          <w:color w:val="333333"/>
          <w:sz w:val="24"/>
          <w:szCs w:val="24"/>
        </w:rPr>
      </w:pPr>
      <w:r w:rsidRPr="005C5C44">
        <w:rPr>
          <w:rFonts w:ascii="Times New Roman" w:hAnsi="Times New Roman"/>
          <w:b/>
          <w:color w:val="333333"/>
          <w:sz w:val="24"/>
          <w:szCs w:val="24"/>
        </w:rPr>
        <w:t>§ 6º.</w:t>
      </w:r>
      <w:r w:rsidRPr="005C5C44">
        <w:rPr>
          <w:rFonts w:ascii="Times New Roman" w:hAnsi="Times New Roman"/>
          <w:color w:val="333333"/>
          <w:sz w:val="24"/>
          <w:szCs w:val="24"/>
        </w:rPr>
        <w:t xml:space="preserve"> A Autorização Ambiental (AA), aplicar-se-á a empreendimentos ou atividades de caráter temporário (transporte de produtos perigosos, pesquisa científica, festival de pesca, desmatamento, exploração florestal, resgate de fauna, uso do fogo controlado, etc.). Caso o empreendimento, atividade, pesquisa, serviço ou obra de caráter temporário, exceda o prazo estabelecido de modo a configurar situação permanente, serão exigidas as licenças ambientais correspondentes, em substituição à Autorização Ambiental expedida.</w:t>
      </w:r>
    </w:p>
    <w:p w:rsidR="005C5C44" w:rsidRPr="005C5C44" w:rsidRDefault="005C5C44" w:rsidP="005C5C44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t xml:space="preserve">Art. 31 . </w:t>
      </w:r>
      <w:r w:rsidRPr="005C5C44">
        <w:rPr>
          <w:color w:val="auto"/>
        </w:rPr>
        <w:t xml:space="preserve"> Os prazos de validade de cada tipo de licença ou autorização ambiental, observado o cronograma apresentado pelo empreendedor, serão observados os limites máximos de até: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I- Licença Prévia: 3 (três) anos;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II- Licença de Instalação: 3 (três) anos;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III- Licença de Operação: 5 (cinco) anos;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IV- Autorização Ambiental: 2 (dois) anos;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>V- Licença Especial: apenas pela data do evento;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>VI- Licença por Adesão e Compromisso: 6 (seis) anos;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>VII- Licença Ambiental Simplificada: 6 (seis) anos.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t xml:space="preserve">§1º. </w:t>
      </w:r>
      <w:r w:rsidRPr="005C5C44">
        <w:rPr>
          <w:color w:val="auto"/>
        </w:rPr>
        <w:t>As atividades e empreendimentos considerados de pequeno e médio impacto, assim definidos no anexo Único da Resolução CONSEMA nº 41/2021 ou daquela que a suceder, e já em funcionamento na data de publicação desta Lei deverão requerer, mediante cadastro do empreendimento a ser instruído com o termo de responsabilidade assinado pelo titular do empreendimento e Anotação de Responsabilidade Técnica ou equivalente do profissional responsável, a Licença de Operação (LO), no prazo de 90 (noventa) dias, a partir da notificação do setor competente, quando da renovação do Alvará de instalação e funcionamento;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t>§2</w:t>
      </w:r>
      <w:proofErr w:type="gramStart"/>
      <w:r w:rsidRPr="005C5C44">
        <w:rPr>
          <w:b/>
          <w:bCs/>
          <w:color w:val="auto"/>
        </w:rPr>
        <w:t>º .</w:t>
      </w:r>
      <w:proofErr w:type="gramEnd"/>
      <w:r w:rsidRPr="005C5C44">
        <w:rPr>
          <w:b/>
          <w:bCs/>
          <w:color w:val="auto"/>
        </w:rPr>
        <w:t xml:space="preserve"> </w:t>
      </w:r>
      <w:r w:rsidRPr="005C5C44">
        <w:rPr>
          <w:color w:val="auto"/>
        </w:rPr>
        <w:t xml:space="preserve"> Poderá ser concedida a título precário, autorização para teste, previamente à concessão das respectivas licenças de operação, mediante o pagamento da taxa correspondente a 30% (trinta por cento) do valor da Licença de Operação (LO) e sem prejuízo das demais licenças necessárias ao funcionamento do empreendimento, em caráter excepcional e devidamente fundamentado pelo órgão licenciador, que será estabelecido em razão de necessidade temporária de avaliação da eficiência das condições, restrições e medidas de controle ambiental impostos à atividade ou empreendimento, não podendo, em qualquer hipótese, a autorização exceder o prazo de 180 (cento e oitenta) dias.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color w:val="auto"/>
        </w:rPr>
        <w:lastRenderedPageBreak/>
        <w:t>§ 3º</w:t>
      </w:r>
      <w:r w:rsidRPr="005C5C44">
        <w:rPr>
          <w:color w:val="auto"/>
        </w:rPr>
        <w:t>. Quando a expedição de Licença de Instalação envolver a supressão da cobertura vegetal e remoção da fauna, a Autorização de Desmatamento e de Resgate da fauna serão concedidas pelo órgão responsável pela expedição da respectiva licença.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color w:val="auto"/>
        </w:rPr>
        <w:t>§ 4º.</w:t>
      </w:r>
      <w:r w:rsidRPr="005C5C44">
        <w:rPr>
          <w:color w:val="auto"/>
        </w:rPr>
        <w:t xml:space="preserve"> O órgão ambiental poderá estabelecer prazos de validade específicos para a Licença de Operação (LO) de empreendimentos ou atividades que, por sua natureza e peculiaridades, estejam sujeitos a encerramento ou modificação em prazos inferiores.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color w:val="auto"/>
        </w:rPr>
        <w:t>§ 5º.</w:t>
      </w:r>
      <w:r w:rsidRPr="005C5C44">
        <w:rPr>
          <w:color w:val="auto"/>
        </w:rPr>
        <w:t xml:space="preserve"> Na renovação da Licença de Operação (LO) de uma atividade ou empreendimento, o órgão ambiental poderá, mediante decisão motivada, aumentar ou diminuir o seu prazo de validade, após avaliação do desempenho ambiental da atividade ou empreendimento no período de vigência anterior, respeitados os limites estabelecidos no inciso III.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color w:val="auto"/>
        </w:rPr>
        <w:t>§ 6º.</w:t>
      </w:r>
      <w:r w:rsidRPr="005C5C44">
        <w:rPr>
          <w:color w:val="auto"/>
        </w:rPr>
        <w:t xml:space="preserve"> Nas hipóteses em que o prazo de validade da Licença de Operação LO seja superior a 03 (três) anos, o empreendedor deverá recolher, anualmente, 10% (dez por cento) do valor em UPF/MT da referida licença, a título de pagamento pelos serviços de fiscalização e monitoramento.</w:t>
      </w:r>
    </w:p>
    <w:p w:rsidR="005C5C44" w:rsidRPr="005C5C44" w:rsidRDefault="005C5C44" w:rsidP="005C5C44">
      <w:pPr>
        <w:spacing w:before="100"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5C5C44" w:rsidRPr="005C5C44" w:rsidRDefault="005C5C44" w:rsidP="005C5C44">
      <w:pPr>
        <w:pStyle w:val="Default"/>
        <w:spacing w:before="100" w:after="100"/>
        <w:jc w:val="both"/>
        <w:rPr>
          <w:bCs/>
          <w:color w:val="auto"/>
        </w:rPr>
      </w:pPr>
      <w:r w:rsidRPr="005C5C44">
        <w:rPr>
          <w:b/>
          <w:bCs/>
          <w:color w:val="auto"/>
        </w:rPr>
        <w:t xml:space="preserve">Art. 2º. </w:t>
      </w:r>
      <w:r w:rsidRPr="005C5C44">
        <w:rPr>
          <w:bCs/>
          <w:color w:val="auto"/>
        </w:rPr>
        <w:t>Fica alterado os incisos I e II do Artigo 234 da Lei Complementar Nº 42/2018, Código Municipal do Meio Ambiente, bem como fica inserido o §4º ao Artigo 234 que passa a viger com a seguinte redação:</w:t>
      </w:r>
    </w:p>
    <w:p w:rsidR="005C5C44" w:rsidRPr="005C5C44" w:rsidRDefault="005C5C44" w:rsidP="005C5C44">
      <w:pPr>
        <w:pStyle w:val="Default"/>
        <w:spacing w:before="100" w:after="100"/>
        <w:jc w:val="both"/>
        <w:rPr>
          <w:color w:val="auto"/>
        </w:rPr>
      </w:pPr>
      <w:r w:rsidRPr="005C5C44">
        <w:rPr>
          <w:bCs/>
          <w:color w:val="auto"/>
        </w:rPr>
        <w:tab/>
      </w:r>
      <w:r w:rsidRPr="005C5C44">
        <w:rPr>
          <w:color w:val="auto"/>
        </w:rPr>
        <w:t xml:space="preserve">I- </w:t>
      </w:r>
      <w:proofErr w:type="gramStart"/>
      <w:r w:rsidRPr="005C5C44">
        <w:rPr>
          <w:color w:val="auto"/>
        </w:rPr>
        <w:t>advertência</w:t>
      </w:r>
      <w:proofErr w:type="gramEnd"/>
      <w:r w:rsidRPr="005C5C44">
        <w:rPr>
          <w:color w:val="auto"/>
        </w:rPr>
        <w:t xml:space="preserve"> por escrito, em que o infrator será notificado para fazer cessar a irregularidade, sob pena de imposição de outras sanções previstas nesta Lei;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>II- multa simples no valor de 1 (uma) até 2.000 (duas mil) Unidades de Padrão Fiscal de Mato Grosso (UPF/MT</w:t>
      </w:r>
      <w:proofErr w:type="gramStart"/>
      <w:r w:rsidRPr="005C5C44">
        <w:rPr>
          <w:color w:val="auto"/>
        </w:rPr>
        <w:t>) ;</w:t>
      </w:r>
      <w:proofErr w:type="gramEnd"/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>(...)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color w:val="auto"/>
        </w:rPr>
        <w:t>§4º.</w:t>
      </w:r>
      <w:r w:rsidRPr="005C5C44">
        <w:rPr>
          <w:color w:val="auto"/>
        </w:rPr>
        <w:t xml:space="preserve"> A caracterização de negligência ou dolo será exigível nas hipóteses previstas nos incisos I e II do § 3o do art. 72 da Lei Federal nº 9.605, de 12 de fevereiro de 1998.</w:t>
      </w:r>
    </w:p>
    <w:p w:rsidR="005C5C44" w:rsidRPr="005C5C44" w:rsidRDefault="005C5C44" w:rsidP="005C5C44">
      <w:pPr>
        <w:pStyle w:val="Default"/>
        <w:spacing w:before="100" w:after="100"/>
        <w:jc w:val="both"/>
        <w:rPr>
          <w:color w:val="auto"/>
        </w:rPr>
      </w:pPr>
    </w:p>
    <w:p w:rsidR="005C5C44" w:rsidRPr="005C5C44" w:rsidRDefault="005C5C44" w:rsidP="005C5C44">
      <w:pPr>
        <w:pStyle w:val="Default"/>
        <w:spacing w:before="100" w:after="100"/>
        <w:jc w:val="both"/>
        <w:rPr>
          <w:bCs/>
          <w:color w:val="auto"/>
        </w:rPr>
      </w:pPr>
      <w:r w:rsidRPr="005C5C44">
        <w:rPr>
          <w:b/>
          <w:bCs/>
          <w:color w:val="auto"/>
        </w:rPr>
        <w:t xml:space="preserve">Art. 3º. </w:t>
      </w:r>
      <w:r w:rsidRPr="005C5C44">
        <w:rPr>
          <w:bCs/>
          <w:color w:val="auto"/>
        </w:rPr>
        <w:t>Fica alterado o Artigo 245 da Lei Complementar Nº 42/2018, Código Municipal do Meio Ambiente, que passa a viger com a seguinte redação:</w:t>
      </w:r>
    </w:p>
    <w:p w:rsidR="005C5C44" w:rsidRPr="005C5C44" w:rsidRDefault="005C5C44" w:rsidP="005C5C44">
      <w:pPr>
        <w:pStyle w:val="Default"/>
        <w:spacing w:before="100" w:after="100"/>
        <w:jc w:val="both"/>
        <w:rPr>
          <w:color w:val="auto"/>
        </w:rPr>
      </w:pP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t xml:space="preserve">Art. 245. </w:t>
      </w:r>
      <w:r w:rsidRPr="005C5C44">
        <w:rPr>
          <w:color w:val="auto"/>
        </w:rPr>
        <w:t xml:space="preserve">A pena de multa consiste no pagamento de importância equivalente a: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I- </w:t>
      </w:r>
      <w:proofErr w:type="gramStart"/>
      <w:r w:rsidRPr="005C5C44">
        <w:rPr>
          <w:color w:val="auto"/>
        </w:rPr>
        <w:t>nas</w:t>
      </w:r>
      <w:proofErr w:type="gramEnd"/>
      <w:r w:rsidRPr="005C5C44">
        <w:rPr>
          <w:color w:val="auto"/>
        </w:rPr>
        <w:t xml:space="preserve"> infrações leves, 1 até 10 UPF/MT;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II- </w:t>
      </w:r>
      <w:proofErr w:type="gramStart"/>
      <w:r w:rsidRPr="005C5C44">
        <w:rPr>
          <w:color w:val="auto"/>
        </w:rPr>
        <w:t>nas</w:t>
      </w:r>
      <w:proofErr w:type="gramEnd"/>
      <w:r w:rsidRPr="005C5C44">
        <w:rPr>
          <w:color w:val="auto"/>
        </w:rPr>
        <w:t xml:space="preserve"> infrações graves, 10 até 200 UPF/MT;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III- nas infrações muito graves, 200 até 400 UPF/MT;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color w:val="auto"/>
        </w:rPr>
        <w:t xml:space="preserve">IV - </w:t>
      </w:r>
      <w:proofErr w:type="gramStart"/>
      <w:r w:rsidRPr="005C5C44">
        <w:rPr>
          <w:color w:val="auto"/>
        </w:rPr>
        <w:t>nas</w:t>
      </w:r>
      <w:proofErr w:type="gramEnd"/>
      <w:r w:rsidRPr="005C5C44">
        <w:rPr>
          <w:color w:val="auto"/>
        </w:rPr>
        <w:t xml:space="preserve"> infrações gravíssimas, 400 até 2.000 UPF/MT.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color w:val="auto"/>
        </w:rPr>
        <w:t>§1º.</w:t>
      </w:r>
      <w:r w:rsidRPr="005C5C44">
        <w:rPr>
          <w:color w:val="auto"/>
        </w:rPr>
        <w:t xml:space="preserve"> Atendido o disposto neste artigo, a autoridade levará em conta, na fixação do valor da multa, a capacidade econômica do infrator.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lastRenderedPageBreak/>
        <w:t xml:space="preserve">§2º. </w:t>
      </w:r>
      <w:r w:rsidRPr="005C5C44">
        <w:rPr>
          <w:color w:val="auto"/>
        </w:rPr>
        <w:t>A multa terá por base a unidade, hectare, metro cúbico, quilograma, metro de carvão-</w:t>
      </w:r>
      <w:proofErr w:type="spellStart"/>
      <w:r w:rsidRPr="005C5C44">
        <w:rPr>
          <w:color w:val="auto"/>
        </w:rPr>
        <w:t>mdc</w:t>
      </w:r>
      <w:proofErr w:type="spellEnd"/>
      <w:r w:rsidRPr="005C5C44">
        <w:rPr>
          <w:color w:val="auto"/>
        </w:rPr>
        <w:t xml:space="preserve">, estéreo, metro quadrado, dúzia, estipe, cento, milheiros ou outra medida pertinente, de acordo com o objeto jurídico lesado.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  <w:r w:rsidRPr="005C5C44">
        <w:rPr>
          <w:b/>
          <w:bCs/>
          <w:color w:val="auto"/>
        </w:rPr>
        <w:t>§3º.</w:t>
      </w:r>
      <w:r w:rsidRPr="005C5C44">
        <w:rPr>
          <w:bCs/>
          <w:color w:val="auto"/>
        </w:rPr>
        <w:t xml:space="preserve"> O</w:t>
      </w:r>
      <w:r w:rsidRPr="005C5C44">
        <w:rPr>
          <w:color w:val="auto"/>
        </w:rPr>
        <w:t xml:space="preserve"> órgão ou entidade ambiental poderá especificar a unidade de medida aplicável para cada espécie de recurso ambiental objeto da infração. </w:t>
      </w:r>
    </w:p>
    <w:p w:rsidR="005C5C44" w:rsidRPr="005C5C44" w:rsidRDefault="005C5C44" w:rsidP="005C5C44">
      <w:pPr>
        <w:pStyle w:val="Default"/>
        <w:spacing w:before="100" w:after="100"/>
        <w:ind w:left="851"/>
        <w:jc w:val="both"/>
        <w:rPr>
          <w:color w:val="auto"/>
        </w:rPr>
      </w:pPr>
    </w:p>
    <w:p w:rsidR="005C5C44" w:rsidRPr="005C5C44" w:rsidRDefault="005C5C44" w:rsidP="005C5C44">
      <w:pPr>
        <w:pStyle w:val="Default"/>
        <w:spacing w:before="100" w:after="100"/>
        <w:jc w:val="both"/>
        <w:rPr>
          <w:color w:val="auto"/>
        </w:rPr>
      </w:pPr>
      <w:r w:rsidRPr="005C5C44">
        <w:rPr>
          <w:b/>
          <w:bCs/>
          <w:color w:val="auto"/>
        </w:rPr>
        <w:t xml:space="preserve">Art. 4º. </w:t>
      </w:r>
      <w:r w:rsidRPr="005C5C44">
        <w:rPr>
          <w:color w:val="auto"/>
        </w:rPr>
        <w:t xml:space="preserve">Esta Lei entrará em vigor na data de sua publicação. </w:t>
      </w:r>
    </w:p>
    <w:p w:rsidR="005C5C44" w:rsidRPr="005C5C44" w:rsidRDefault="005C5C44" w:rsidP="005C5C44">
      <w:pPr>
        <w:pStyle w:val="Default"/>
        <w:spacing w:before="100" w:after="100"/>
        <w:jc w:val="both"/>
        <w:rPr>
          <w:color w:val="auto"/>
        </w:rPr>
      </w:pPr>
      <w:r w:rsidRPr="005C5C44">
        <w:rPr>
          <w:b/>
          <w:bCs/>
          <w:color w:val="auto"/>
        </w:rPr>
        <w:t xml:space="preserve">Art. 5º. </w:t>
      </w:r>
      <w:r w:rsidRPr="005C5C44">
        <w:rPr>
          <w:color w:val="auto"/>
        </w:rPr>
        <w:t xml:space="preserve">Revogam-se as disposições em contrário. </w:t>
      </w:r>
    </w:p>
    <w:p w:rsidR="00DF35AB" w:rsidRDefault="00DF35AB" w:rsidP="00F5665B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9E4B29" w:rsidRPr="005C5C44" w:rsidRDefault="009E4B29" w:rsidP="00F5665B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027ADC" w:rsidRPr="005C5C44" w:rsidRDefault="0085043D" w:rsidP="00F5665B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  <w:proofErr w:type="spellStart"/>
      <w:r w:rsidRPr="005C5C44">
        <w:rPr>
          <w:rFonts w:ascii="Times New Roman" w:eastAsia="Batang" w:hAnsi="Times New Roman"/>
          <w:sz w:val="24"/>
          <w:szCs w:val="24"/>
        </w:rPr>
        <w:t>Figueirópolis</w:t>
      </w:r>
      <w:proofErr w:type="spellEnd"/>
      <w:r w:rsidRPr="005C5C44">
        <w:rPr>
          <w:rFonts w:ascii="Times New Roman" w:eastAsia="Batang" w:hAnsi="Times New Roman"/>
          <w:sz w:val="24"/>
          <w:szCs w:val="24"/>
        </w:rPr>
        <w:t xml:space="preserve"> d’Oeste-MT</w:t>
      </w:r>
      <w:r w:rsidR="00027ADC" w:rsidRPr="005C5C44">
        <w:rPr>
          <w:rFonts w:ascii="Times New Roman" w:eastAsia="Batang" w:hAnsi="Times New Roman"/>
          <w:sz w:val="24"/>
          <w:szCs w:val="24"/>
        </w:rPr>
        <w:t xml:space="preserve">, </w:t>
      </w:r>
      <w:r w:rsidR="009E4B29">
        <w:rPr>
          <w:rFonts w:ascii="Times New Roman" w:eastAsia="Batang" w:hAnsi="Times New Roman"/>
          <w:sz w:val="24"/>
          <w:szCs w:val="24"/>
        </w:rPr>
        <w:t>02 de outubro</w:t>
      </w:r>
      <w:bookmarkStart w:id="0" w:name="_GoBack"/>
      <w:bookmarkEnd w:id="0"/>
      <w:r w:rsidRPr="005C5C44">
        <w:rPr>
          <w:rFonts w:ascii="Times New Roman" w:eastAsia="Batang" w:hAnsi="Times New Roman"/>
          <w:sz w:val="24"/>
          <w:szCs w:val="24"/>
        </w:rPr>
        <w:t xml:space="preserve"> de 202</w:t>
      </w:r>
      <w:r w:rsidR="00793D16" w:rsidRPr="005C5C44">
        <w:rPr>
          <w:rFonts w:ascii="Times New Roman" w:eastAsia="Batang" w:hAnsi="Times New Roman"/>
          <w:sz w:val="24"/>
          <w:szCs w:val="24"/>
        </w:rPr>
        <w:t>5</w:t>
      </w:r>
      <w:r w:rsidRPr="005C5C44">
        <w:rPr>
          <w:rFonts w:ascii="Times New Roman" w:eastAsia="Batang" w:hAnsi="Times New Roman"/>
          <w:sz w:val="24"/>
          <w:szCs w:val="24"/>
        </w:rPr>
        <w:t>.</w:t>
      </w:r>
    </w:p>
    <w:p w:rsidR="00027ADC" w:rsidRPr="005C5C44" w:rsidRDefault="00027ADC" w:rsidP="00027ADC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</w:p>
    <w:p w:rsidR="00027ADC" w:rsidRPr="005C5C44" w:rsidRDefault="00027ADC" w:rsidP="003D237D">
      <w:pPr>
        <w:spacing w:after="0" w:line="240" w:lineRule="auto"/>
        <w:rPr>
          <w:rFonts w:ascii="Times New Roman" w:eastAsia="Batang" w:hAnsi="Times New Roman"/>
          <w:b/>
          <w:sz w:val="24"/>
          <w:szCs w:val="24"/>
        </w:rPr>
      </w:pPr>
    </w:p>
    <w:p w:rsidR="00216F0F" w:rsidRPr="005C5C44" w:rsidRDefault="00216F0F" w:rsidP="00027ADC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</w:p>
    <w:p w:rsidR="00027ADC" w:rsidRPr="005C5C44" w:rsidRDefault="008B2524" w:rsidP="00027ADC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5C5C44">
        <w:rPr>
          <w:rFonts w:ascii="Times New Roman" w:eastAsia="Batang" w:hAnsi="Times New Roman"/>
          <w:b/>
          <w:sz w:val="24"/>
          <w:szCs w:val="24"/>
        </w:rPr>
        <w:t>Ademir Felício Garcia</w:t>
      </w:r>
    </w:p>
    <w:p w:rsidR="00027ADC" w:rsidRPr="005C5C44" w:rsidRDefault="00027ADC" w:rsidP="00027ADC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5C5C44">
        <w:rPr>
          <w:rFonts w:ascii="Times New Roman" w:eastAsia="Batang" w:hAnsi="Times New Roman"/>
          <w:b/>
          <w:sz w:val="24"/>
          <w:szCs w:val="24"/>
        </w:rPr>
        <w:t xml:space="preserve">Prefeito Municipal </w:t>
      </w:r>
    </w:p>
    <w:sectPr w:rsidR="00027ADC" w:rsidRPr="005C5C44" w:rsidSect="003165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17E4" w:rsidRDefault="00FD17E4" w:rsidP="00732E4E">
      <w:pPr>
        <w:spacing w:after="0" w:line="240" w:lineRule="auto"/>
      </w:pPr>
      <w:r>
        <w:separator/>
      </w:r>
    </w:p>
  </w:endnote>
  <w:endnote w:type="continuationSeparator" w:id="0">
    <w:p w:rsidR="00FD17E4" w:rsidRDefault="00FD17E4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Pr="005F085C" w:rsidRDefault="00907FE8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7C3747" wp14:editId="7861746F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DE5C7B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DBCB7C4" wp14:editId="5BE2B457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C4F5273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Pr="005F085C">
      <w:rPr>
        <w:rFonts w:asciiTheme="minorHAnsi" w:hAnsiTheme="minorHAnsi" w:cstheme="minorHAnsi"/>
        <w:b/>
        <w:sz w:val="24"/>
        <w:szCs w:val="24"/>
      </w:rPr>
      <w:t>Rua</w:t>
    </w:r>
    <w:r w:rsidRPr="005F085C">
      <w:rPr>
        <w:rFonts w:asciiTheme="minorHAnsi" w:hAnsiTheme="minorHAnsi" w:cstheme="minorHAnsi"/>
        <w:b/>
        <w:szCs w:val="20"/>
      </w:rPr>
      <w:t xml:space="preserve"> santa Catarina, 146 –CEP 78290-000 – </w:t>
    </w:r>
    <w:proofErr w:type="spellStart"/>
    <w:r w:rsidRPr="005F085C">
      <w:rPr>
        <w:rFonts w:asciiTheme="minorHAnsi" w:hAnsiTheme="minorHAnsi" w:cstheme="minorHAnsi"/>
        <w:b/>
        <w:szCs w:val="20"/>
      </w:rPr>
      <w:t>Figueirópolis</w:t>
    </w:r>
    <w:proofErr w:type="spellEnd"/>
    <w:r w:rsidRPr="005F085C">
      <w:rPr>
        <w:rFonts w:asciiTheme="minorHAnsi" w:hAnsiTheme="minorHAnsi" w:cstheme="minorHAnsi"/>
        <w:b/>
        <w:szCs w:val="20"/>
      </w:rPr>
      <w:t xml:space="preserve"> D’Oeste – MT </w:t>
    </w:r>
  </w:p>
  <w:p w:rsidR="00907FE8" w:rsidRPr="005F085C" w:rsidRDefault="00907FE8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  <w:lang w:val="en-US"/>
      </w:rPr>
    </w:pPr>
    <w:proofErr w:type="spellStart"/>
    <w:r w:rsidRPr="005F085C">
      <w:rPr>
        <w:rFonts w:asciiTheme="minorHAnsi" w:hAnsiTheme="minorHAnsi" w:cstheme="minorHAnsi"/>
        <w:b/>
        <w:szCs w:val="20"/>
        <w:lang w:val="en-US"/>
      </w:rPr>
      <w:t>Telefone</w:t>
    </w:r>
    <w:proofErr w:type="spellEnd"/>
    <w:r w:rsidRPr="005F085C">
      <w:rPr>
        <w:rFonts w:asciiTheme="minorHAnsi" w:hAnsiTheme="minorHAnsi" w:cstheme="minorHAnsi"/>
        <w:b/>
        <w:szCs w:val="20"/>
        <w:lang w:val="en-US"/>
      </w:rPr>
      <w:t xml:space="preserve">: +55 (65) 3235-1595 – Fax +55 (65) 3235-1586 | </w:t>
    </w:r>
    <w:hyperlink r:id="rId1" w:history="1">
      <w:r w:rsidRPr="005F085C">
        <w:rPr>
          <w:rStyle w:val="Hyperlink"/>
          <w:rFonts w:asciiTheme="minorHAnsi" w:hAnsiTheme="minorHAnsi" w:cstheme="minorHAnsi"/>
          <w:b/>
          <w:szCs w:val="20"/>
          <w:lang w:val="en-US"/>
        </w:rPr>
        <w:t>prefigue@figueiropolisdoeste.mt.gov.br</w:t>
      </w:r>
    </w:hyperlink>
    <w:r w:rsidRPr="005F085C">
      <w:rPr>
        <w:rFonts w:asciiTheme="minorHAnsi" w:hAnsiTheme="minorHAnsi" w:cstheme="minorHAnsi"/>
        <w:b/>
        <w:szCs w:val="20"/>
        <w:lang w:val="en-US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7E4" w:rsidRDefault="00FD17E4" w:rsidP="00732E4E">
      <w:pPr>
        <w:spacing w:after="0" w:line="240" w:lineRule="auto"/>
      </w:pPr>
      <w:r>
        <w:separator/>
      </w:r>
    </w:p>
  </w:footnote>
  <w:footnote w:type="continuationSeparator" w:id="0">
    <w:p w:rsidR="00FD17E4" w:rsidRDefault="00FD17E4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484C3368" wp14:editId="2E5CFDAA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907FE8" w:rsidRPr="00A107AC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907FE8" w:rsidRPr="00614B7D" w:rsidRDefault="00907FE8" w:rsidP="003165D8">
    <w:pPr>
      <w:pStyle w:val="Cabealho"/>
      <w:spacing w:before="120"/>
      <w:jc w:val="center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BD1"/>
    <w:rsid w:val="0001389A"/>
    <w:rsid w:val="00027ADC"/>
    <w:rsid w:val="00081203"/>
    <w:rsid w:val="000861A8"/>
    <w:rsid w:val="000866D1"/>
    <w:rsid w:val="00090150"/>
    <w:rsid w:val="000A3D43"/>
    <w:rsid w:val="000B1CC7"/>
    <w:rsid w:val="000B212A"/>
    <w:rsid w:val="000B65E3"/>
    <w:rsid w:val="000C5F9E"/>
    <w:rsid w:val="000F5EA7"/>
    <w:rsid w:val="001021E6"/>
    <w:rsid w:val="001031A8"/>
    <w:rsid w:val="0010428D"/>
    <w:rsid w:val="00161452"/>
    <w:rsid w:val="0016253C"/>
    <w:rsid w:val="0017432B"/>
    <w:rsid w:val="0017476E"/>
    <w:rsid w:val="00180BD3"/>
    <w:rsid w:val="001A24F5"/>
    <w:rsid w:val="001C4C04"/>
    <w:rsid w:val="001D0789"/>
    <w:rsid w:val="001E23EE"/>
    <w:rsid w:val="001E6D8F"/>
    <w:rsid w:val="001F2C79"/>
    <w:rsid w:val="001F4F83"/>
    <w:rsid w:val="001F7A6B"/>
    <w:rsid w:val="00200734"/>
    <w:rsid w:val="002038CF"/>
    <w:rsid w:val="00216F0F"/>
    <w:rsid w:val="002254DD"/>
    <w:rsid w:val="00250446"/>
    <w:rsid w:val="00255420"/>
    <w:rsid w:val="00262579"/>
    <w:rsid w:val="0027034C"/>
    <w:rsid w:val="00283C2A"/>
    <w:rsid w:val="00290535"/>
    <w:rsid w:val="00293B4A"/>
    <w:rsid w:val="002A1480"/>
    <w:rsid w:val="002F2D75"/>
    <w:rsid w:val="002F47E0"/>
    <w:rsid w:val="002F48CC"/>
    <w:rsid w:val="0030318F"/>
    <w:rsid w:val="003109DB"/>
    <w:rsid w:val="00315E89"/>
    <w:rsid w:val="003165D8"/>
    <w:rsid w:val="00327C6F"/>
    <w:rsid w:val="00333964"/>
    <w:rsid w:val="003351FA"/>
    <w:rsid w:val="003501CC"/>
    <w:rsid w:val="00355F69"/>
    <w:rsid w:val="00373F01"/>
    <w:rsid w:val="00376947"/>
    <w:rsid w:val="0038181C"/>
    <w:rsid w:val="00390EF6"/>
    <w:rsid w:val="003A185E"/>
    <w:rsid w:val="003C49F0"/>
    <w:rsid w:val="003D237D"/>
    <w:rsid w:val="003E1305"/>
    <w:rsid w:val="003F12D8"/>
    <w:rsid w:val="004055C2"/>
    <w:rsid w:val="00406D02"/>
    <w:rsid w:val="004345C1"/>
    <w:rsid w:val="004432CF"/>
    <w:rsid w:val="004444DC"/>
    <w:rsid w:val="0044652A"/>
    <w:rsid w:val="00473BC1"/>
    <w:rsid w:val="00495F81"/>
    <w:rsid w:val="004A1395"/>
    <w:rsid w:val="004A6151"/>
    <w:rsid w:val="004B40A0"/>
    <w:rsid w:val="004C2E1C"/>
    <w:rsid w:val="004F3189"/>
    <w:rsid w:val="005032F3"/>
    <w:rsid w:val="00505E5B"/>
    <w:rsid w:val="00506638"/>
    <w:rsid w:val="00506E22"/>
    <w:rsid w:val="00521A41"/>
    <w:rsid w:val="00526099"/>
    <w:rsid w:val="00527001"/>
    <w:rsid w:val="00545C03"/>
    <w:rsid w:val="00553417"/>
    <w:rsid w:val="005657DC"/>
    <w:rsid w:val="0056766E"/>
    <w:rsid w:val="00571F55"/>
    <w:rsid w:val="0059585B"/>
    <w:rsid w:val="005B0544"/>
    <w:rsid w:val="005B1F6F"/>
    <w:rsid w:val="005B39F6"/>
    <w:rsid w:val="005B4A74"/>
    <w:rsid w:val="005C5C44"/>
    <w:rsid w:val="005C676F"/>
    <w:rsid w:val="005C7C13"/>
    <w:rsid w:val="005D3480"/>
    <w:rsid w:val="005F085C"/>
    <w:rsid w:val="005F71ED"/>
    <w:rsid w:val="006005F0"/>
    <w:rsid w:val="006110E1"/>
    <w:rsid w:val="00614B7D"/>
    <w:rsid w:val="0064296C"/>
    <w:rsid w:val="00643929"/>
    <w:rsid w:val="006459C3"/>
    <w:rsid w:val="00646806"/>
    <w:rsid w:val="00653D4B"/>
    <w:rsid w:val="006621A7"/>
    <w:rsid w:val="00665C1E"/>
    <w:rsid w:val="00682CE6"/>
    <w:rsid w:val="00684C93"/>
    <w:rsid w:val="00694E79"/>
    <w:rsid w:val="00696B5A"/>
    <w:rsid w:val="006A1763"/>
    <w:rsid w:val="006A679E"/>
    <w:rsid w:val="006A7CA1"/>
    <w:rsid w:val="006D3AFD"/>
    <w:rsid w:val="006D44DF"/>
    <w:rsid w:val="006E5AFF"/>
    <w:rsid w:val="006E69C5"/>
    <w:rsid w:val="00706C0D"/>
    <w:rsid w:val="00731194"/>
    <w:rsid w:val="00732E4E"/>
    <w:rsid w:val="00734EFE"/>
    <w:rsid w:val="00747C18"/>
    <w:rsid w:val="007505A1"/>
    <w:rsid w:val="0075728F"/>
    <w:rsid w:val="00781BF4"/>
    <w:rsid w:val="00793D16"/>
    <w:rsid w:val="00796B31"/>
    <w:rsid w:val="007A0507"/>
    <w:rsid w:val="007A67C1"/>
    <w:rsid w:val="007C7264"/>
    <w:rsid w:val="007D485F"/>
    <w:rsid w:val="007E0419"/>
    <w:rsid w:val="007E06CC"/>
    <w:rsid w:val="007E31F6"/>
    <w:rsid w:val="007F308D"/>
    <w:rsid w:val="008070B2"/>
    <w:rsid w:val="00807C07"/>
    <w:rsid w:val="008127F5"/>
    <w:rsid w:val="00817B45"/>
    <w:rsid w:val="0082514C"/>
    <w:rsid w:val="00834050"/>
    <w:rsid w:val="0085043D"/>
    <w:rsid w:val="00861798"/>
    <w:rsid w:val="00862514"/>
    <w:rsid w:val="00877E23"/>
    <w:rsid w:val="008B2524"/>
    <w:rsid w:val="008B2EF5"/>
    <w:rsid w:val="008B6C4C"/>
    <w:rsid w:val="008D3F44"/>
    <w:rsid w:val="008F388D"/>
    <w:rsid w:val="008F3CBB"/>
    <w:rsid w:val="00907FE8"/>
    <w:rsid w:val="009212CA"/>
    <w:rsid w:val="0093073C"/>
    <w:rsid w:val="00933501"/>
    <w:rsid w:val="009529DC"/>
    <w:rsid w:val="00963E4D"/>
    <w:rsid w:val="00976297"/>
    <w:rsid w:val="0098008A"/>
    <w:rsid w:val="009B0293"/>
    <w:rsid w:val="009B1698"/>
    <w:rsid w:val="009D4C94"/>
    <w:rsid w:val="009E4B29"/>
    <w:rsid w:val="00A050BE"/>
    <w:rsid w:val="00A144C2"/>
    <w:rsid w:val="00A15703"/>
    <w:rsid w:val="00A34921"/>
    <w:rsid w:val="00A41FFA"/>
    <w:rsid w:val="00A44E94"/>
    <w:rsid w:val="00A546AC"/>
    <w:rsid w:val="00A60A79"/>
    <w:rsid w:val="00A71A2D"/>
    <w:rsid w:val="00A75039"/>
    <w:rsid w:val="00A91A0A"/>
    <w:rsid w:val="00A9275C"/>
    <w:rsid w:val="00AA2ADB"/>
    <w:rsid w:val="00AC01EC"/>
    <w:rsid w:val="00AC14ED"/>
    <w:rsid w:val="00AF7F45"/>
    <w:rsid w:val="00B00C97"/>
    <w:rsid w:val="00B01C29"/>
    <w:rsid w:val="00B07DD2"/>
    <w:rsid w:val="00B10E62"/>
    <w:rsid w:val="00B15F8E"/>
    <w:rsid w:val="00B179B1"/>
    <w:rsid w:val="00B42131"/>
    <w:rsid w:val="00B433B7"/>
    <w:rsid w:val="00B44F77"/>
    <w:rsid w:val="00B76311"/>
    <w:rsid w:val="00B96549"/>
    <w:rsid w:val="00BA1ABA"/>
    <w:rsid w:val="00BC5A5C"/>
    <w:rsid w:val="00BD2A43"/>
    <w:rsid w:val="00BD6F38"/>
    <w:rsid w:val="00BF6D47"/>
    <w:rsid w:val="00C03CDB"/>
    <w:rsid w:val="00C3450C"/>
    <w:rsid w:val="00C473BB"/>
    <w:rsid w:val="00C83DF1"/>
    <w:rsid w:val="00CC23D5"/>
    <w:rsid w:val="00CC4140"/>
    <w:rsid w:val="00CD588A"/>
    <w:rsid w:val="00CE35CB"/>
    <w:rsid w:val="00CF598B"/>
    <w:rsid w:val="00CF5DDF"/>
    <w:rsid w:val="00D17BBC"/>
    <w:rsid w:val="00D5195B"/>
    <w:rsid w:val="00D63E18"/>
    <w:rsid w:val="00D732BF"/>
    <w:rsid w:val="00D73860"/>
    <w:rsid w:val="00D90184"/>
    <w:rsid w:val="00D96BD1"/>
    <w:rsid w:val="00DA643E"/>
    <w:rsid w:val="00DC3A23"/>
    <w:rsid w:val="00DD2EF6"/>
    <w:rsid w:val="00DD7A19"/>
    <w:rsid w:val="00DE5730"/>
    <w:rsid w:val="00DE68CE"/>
    <w:rsid w:val="00DE6C14"/>
    <w:rsid w:val="00DE779B"/>
    <w:rsid w:val="00DE7BAF"/>
    <w:rsid w:val="00DF35AB"/>
    <w:rsid w:val="00E003ED"/>
    <w:rsid w:val="00E07D2A"/>
    <w:rsid w:val="00E135B0"/>
    <w:rsid w:val="00E23697"/>
    <w:rsid w:val="00E251AB"/>
    <w:rsid w:val="00E309F6"/>
    <w:rsid w:val="00E343AA"/>
    <w:rsid w:val="00E35881"/>
    <w:rsid w:val="00E3739D"/>
    <w:rsid w:val="00E41079"/>
    <w:rsid w:val="00E5517B"/>
    <w:rsid w:val="00E6260C"/>
    <w:rsid w:val="00E660D3"/>
    <w:rsid w:val="00E770A0"/>
    <w:rsid w:val="00E77A8C"/>
    <w:rsid w:val="00E849DF"/>
    <w:rsid w:val="00E96805"/>
    <w:rsid w:val="00EB25FC"/>
    <w:rsid w:val="00EC57AF"/>
    <w:rsid w:val="00ED7201"/>
    <w:rsid w:val="00EE1E3B"/>
    <w:rsid w:val="00F0418B"/>
    <w:rsid w:val="00F16766"/>
    <w:rsid w:val="00F206AE"/>
    <w:rsid w:val="00F32DD8"/>
    <w:rsid w:val="00F5665B"/>
    <w:rsid w:val="00F606FE"/>
    <w:rsid w:val="00F721E2"/>
    <w:rsid w:val="00F90950"/>
    <w:rsid w:val="00F953A5"/>
    <w:rsid w:val="00FA0233"/>
    <w:rsid w:val="00FA0C20"/>
    <w:rsid w:val="00FA54FA"/>
    <w:rsid w:val="00FC21B5"/>
    <w:rsid w:val="00FC4C39"/>
    <w:rsid w:val="00FD17E4"/>
    <w:rsid w:val="00FD1FC0"/>
    <w:rsid w:val="00FE64FB"/>
    <w:rsid w:val="00FF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B06740-28CB-46D4-B531-5997E619D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BD1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character" w:styleId="Forte">
    <w:name w:val="Strong"/>
    <w:uiPriority w:val="99"/>
    <w:qFormat/>
    <w:rsid w:val="00D96BD1"/>
    <w:rPr>
      <w:rFonts w:cs="Times New Roman"/>
      <w:b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96BD1"/>
    <w:pPr>
      <w:spacing w:after="120"/>
    </w:pPr>
    <w:rPr>
      <w:rFonts w:cstheme="minorBidi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96BD1"/>
    <w:rPr>
      <w:rFonts w:cstheme="minorBidi"/>
      <w:sz w:val="22"/>
      <w:szCs w:val="22"/>
      <w:lang w:eastAsia="en-US"/>
    </w:rPr>
  </w:style>
  <w:style w:type="paragraph" w:styleId="SemEspaamento">
    <w:name w:val="No Spacing"/>
    <w:uiPriority w:val="1"/>
    <w:qFormat/>
    <w:rsid w:val="008F3CBB"/>
    <w:rPr>
      <w:sz w:val="22"/>
      <w:szCs w:val="22"/>
      <w:lang w:eastAsia="en-US"/>
    </w:rPr>
  </w:style>
  <w:style w:type="paragraph" w:customStyle="1" w:styleId="Default">
    <w:name w:val="Default"/>
    <w:rsid w:val="00A44E9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%20JURIDICA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B876A-F6B8-4B15-A0A3-85C0D5811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154</TotalTime>
  <Pages>5</Pages>
  <Words>1556</Words>
  <Characters>8405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JURIDICA</dc:creator>
  <cp:lastModifiedBy>Conta da Microsoft</cp:lastModifiedBy>
  <cp:revision>33</cp:revision>
  <cp:lastPrinted>2016-02-22T16:24:00Z</cp:lastPrinted>
  <dcterms:created xsi:type="dcterms:W3CDTF">2017-11-23T13:08:00Z</dcterms:created>
  <dcterms:modified xsi:type="dcterms:W3CDTF">2025-10-02T11:43:00Z</dcterms:modified>
</cp:coreProperties>
</file>