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F0F" w:rsidRPr="00D918FA" w:rsidRDefault="00216F0F" w:rsidP="00D918F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96BD1" w:rsidRPr="00D918FA" w:rsidRDefault="00907FE8" w:rsidP="00D918F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918FA">
        <w:rPr>
          <w:rFonts w:ascii="Times New Roman" w:hAnsi="Times New Roman"/>
          <w:b/>
          <w:sz w:val="24"/>
          <w:szCs w:val="24"/>
        </w:rPr>
        <w:t xml:space="preserve">PROJETO DE </w:t>
      </w:r>
      <w:r w:rsidR="00D96BD1" w:rsidRPr="00D918FA">
        <w:rPr>
          <w:rFonts w:ascii="Times New Roman" w:hAnsi="Times New Roman"/>
          <w:b/>
          <w:sz w:val="24"/>
          <w:szCs w:val="24"/>
        </w:rPr>
        <w:t xml:space="preserve">LEI </w:t>
      </w:r>
      <w:r w:rsidR="00E3739D" w:rsidRPr="00D918FA">
        <w:rPr>
          <w:rFonts w:ascii="Times New Roman" w:hAnsi="Times New Roman"/>
          <w:b/>
          <w:sz w:val="24"/>
          <w:szCs w:val="24"/>
        </w:rPr>
        <w:t>COMPLEMENTAR</w:t>
      </w:r>
      <w:r w:rsidRPr="00D918FA">
        <w:rPr>
          <w:rFonts w:ascii="Times New Roman" w:hAnsi="Times New Roman"/>
          <w:b/>
          <w:sz w:val="24"/>
          <w:szCs w:val="24"/>
        </w:rPr>
        <w:t xml:space="preserve"> Nº </w:t>
      </w:r>
      <w:r w:rsidRPr="00D918FA">
        <w:rPr>
          <w:rFonts w:ascii="Times New Roman" w:hAnsi="Times New Roman"/>
          <w:b/>
          <w:sz w:val="24"/>
          <w:szCs w:val="24"/>
        </w:rPr>
        <w:softHyphen/>
      </w:r>
      <w:r w:rsidRPr="00D918FA">
        <w:rPr>
          <w:rFonts w:ascii="Times New Roman" w:hAnsi="Times New Roman"/>
          <w:b/>
          <w:sz w:val="24"/>
          <w:szCs w:val="24"/>
        </w:rPr>
        <w:softHyphen/>
      </w:r>
      <w:r w:rsidRPr="00D918FA">
        <w:rPr>
          <w:rFonts w:ascii="Times New Roman" w:hAnsi="Times New Roman"/>
          <w:b/>
          <w:sz w:val="24"/>
          <w:szCs w:val="24"/>
        </w:rPr>
        <w:softHyphen/>
      </w:r>
      <w:r w:rsidRPr="00D918FA">
        <w:rPr>
          <w:rFonts w:ascii="Times New Roman" w:hAnsi="Times New Roman"/>
          <w:b/>
          <w:sz w:val="24"/>
          <w:szCs w:val="24"/>
        </w:rPr>
        <w:softHyphen/>
      </w:r>
      <w:r w:rsidRPr="00D918FA">
        <w:rPr>
          <w:rFonts w:ascii="Times New Roman" w:hAnsi="Times New Roman"/>
          <w:b/>
          <w:sz w:val="24"/>
          <w:szCs w:val="24"/>
        </w:rPr>
        <w:softHyphen/>
      </w:r>
      <w:r w:rsidRPr="00D918FA">
        <w:rPr>
          <w:rFonts w:ascii="Times New Roman" w:hAnsi="Times New Roman"/>
          <w:b/>
          <w:sz w:val="24"/>
          <w:szCs w:val="24"/>
        </w:rPr>
        <w:softHyphen/>
      </w:r>
      <w:r w:rsidRPr="00D918FA">
        <w:rPr>
          <w:rFonts w:ascii="Times New Roman" w:hAnsi="Times New Roman"/>
          <w:b/>
          <w:sz w:val="24"/>
          <w:szCs w:val="24"/>
        </w:rPr>
        <w:softHyphen/>
      </w:r>
      <w:r w:rsidRPr="00D918FA">
        <w:rPr>
          <w:rFonts w:ascii="Times New Roman" w:hAnsi="Times New Roman"/>
          <w:b/>
          <w:sz w:val="24"/>
          <w:szCs w:val="24"/>
        </w:rPr>
        <w:softHyphen/>
      </w:r>
      <w:r w:rsidRPr="00D918FA">
        <w:rPr>
          <w:rFonts w:ascii="Times New Roman" w:hAnsi="Times New Roman"/>
          <w:b/>
          <w:sz w:val="24"/>
          <w:szCs w:val="24"/>
        </w:rPr>
        <w:softHyphen/>
      </w:r>
      <w:r w:rsidRPr="00D918FA">
        <w:rPr>
          <w:rFonts w:ascii="Times New Roman" w:hAnsi="Times New Roman"/>
          <w:b/>
          <w:sz w:val="24"/>
          <w:szCs w:val="24"/>
        </w:rPr>
        <w:softHyphen/>
      </w:r>
      <w:r w:rsidR="00D918FA" w:rsidRPr="00D918FA">
        <w:rPr>
          <w:rFonts w:ascii="Times New Roman" w:hAnsi="Times New Roman"/>
          <w:b/>
          <w:sz w:val="24"/>
          <w:szCs w:val="24"/>
        </w:rPr>
        <w:t>75</w:t>
      </w:r>
      <w:r w:rsidR="00A050BE" w:rsidRPr="00D918FA">
        <w:rPr>
          <w:rFonts w:ascii="Times New Roman" w:hAnsi="Times New Roman"/>
          <w:b/>
          <w:sz w:val="24"/>
          <w:szCs w:val="24"/>
        </w:rPr>
        <w:t xml:space="preserve"> </w:t>
      </w:r>
      <w:r w:rsidRPr="00D918FA">
        <w:rPr>
          <w:rFonts w:ascii="Times New Roman" w:hAnsi="Times New Roman"/>
          <w:b/>
          <w:sz w:val="24"/>
          <w:szCs w:val="24"/>
        </w:rPr>
        <w:t xml:space="preserve">DE </w:t>
      </w:r>
      <w:r w:rsidR="005C5C44" w:rsidRPr="00D918FA">
        <w:rPr>
          <w:rFonts w:ascii="Times New Roman" w:hAnsi="Times New Roman"/>
          <w:b/>
          <w:sz w:val="24"/>
          <w:szCs w:val="24"/>
        </w:rPr>
        <w:t>0</w:t>
      </w:r>
      <w:r w:rsidR="009E4B29" w:rsidRPr="00D918FA">
        <w:rPr>
          <w:rFonts w:ascii="Times New Roman" w:hAnsi="Times New Roman"/>
          <w:b/>
          <w:sz w:val="24"/>
          <w:szCs w:val="24"/>
        </w:rPr>
        <w:t>2</w:t>
      </w:r>
      <w:r w:rsidR="00793D16" w:rsidRPr="00D918FA">
        <w:rPr>
          <w:rFonts w:ascii="Times New Roman" w:hAnsi="Times New Roman"/>
          <w:b/>
          <w:sz w:val="24"/>
          <w:szCs w:val="24"/>
        </w:rPr>
        <w:t xml:space="preserve"> DE </w:t>
      </w:r>
      <w:r w:rsidR="005C5C44" w:rsidRPr="00D918FA">
        <w:rPr>
          <w:rFonts w:ascii="Times New Roman" w:hAnsi="Times New Roman"/>
          <w:b/>
          <w:sz w:val="24"/>
          <w:szCs w:val="24"/>
        </w:rPr>
        <w:t>OUTRUBRO</w:t>
      </w:r>
      <w:r w:rsidR="00793D16" w:rsidRPr="00D918FA">
        <w:rPr>
          <w:rFonts w:ascii="Times New Roman" w:hAnsi="Times New Roman"/>
          <w:b/>
          <w:sz w:val="24"/>
          <w:szCs w:val="24"/>
        </w:rPr>
        <w:t xml:space="preserve"> DE 2025</w:t>
      </w:r>
      <w:r w:rsidRPr="00D918FA">
        <w:rPr>
          <w:rFonts w:ascii="Times New Roman" w:hAnsi="Times New Roman"/>
          <w:b/>
          <w:sz w:val="24"/>
          <w:szCs w:val="24"/>
        </w:rPr>
        <w:t>.</w:t>
      </w:r>
    </w:p>
    <w:p w:rsidR="00D96BD1" w:rsidRPr="00D918FA" w:rsidRDefault="00D96BD1" w:rsidP="00D918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96BD1" w:rsidRPr="00D918FA" w:rsidRDefault="00D96BD1" w:rsidP="00D918FA">
      <w:pPr>
        <w:pStyle w:val="Corpodetexto"/>
        <w:spacing w:after="0" w:line="240" w:lineRule="auto"/>
        <w:ind w:left="340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6F0F" w:rsidRPr="00D918FA" w:rsidRDefault="00216F0F" w:rsidP="00D918FA">
      <w:pPr>
        <w:autoSpaceDE w:val="0"/>
        <w:autoSpaceDN w:val="0"/>
        <w:adjustRightInd w:val="0"/>
        <w:spacing w:after="0" w:line="240" w:lineRule="auto"/>
        <w:ind w:left="3402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D96BD1" w:rsidRPr="00D918FA" w:rsidRDefault="00D918FA" w:rsidP="00D918FA">
      <w:pPr>
        <w:spacing w:after="0" w:line="240" w:lineRule="auto"/>
        <w:ind w:left="3969"/>
        <w:jc w:val="both"/>
        <w:rPr>
          <w:rFonts w:ascii="Times New Roman" w:hAnsi="Times New Roman"/>
          <w:sz w:val="24"/>
          <w:szCs w:val="24"/>
        </w:rPr>
      </w:pPr>
      <w:r w:rsidRPr="00D918FA">
        <w:rPr>
          <w:rFonts w:ascii="Times New Roman" w:hAnsi="Times New Roman"/>
          <w:b/>
          <w:color w:val="000000"/>
          <w:sz w:val="24"/>
          <w:szCs w:val="24"/>
        </w:rPr>
        <w:t xml:space="preserve">DISPÕE SOBRE O USO E OCUPAÇÃO DO SOLO DO MUNICÍPIO DE FIGUEIRÓPOLIS D’OESTE-MT E DÁ OUTRAS </w:t>
      </w:r>
      <w:proofErr w:type="gramStart"/>
      <w:r w:rsidRPr="00D918FA">
        <w:rPr>
          <w:rFonts w:ascii="Times New Roman" w:hAnsi="Times New Roman"/>
          <w:b/>
          <w:color w:val="000000"/>
          <w:sz w:val="24"/>
          <w:szCs w:val="24"/>
        </w:rPr>
        <w:t>PROVIDÊNCIAS.</w:t>
      </w:r>
      <w:r w:rsidR="009E4B29" w:rsidRPr="00D918FA">
        <w:rPr>
          <w:rFonts w:ascii="Times New Roman" w:hAnsi="Times New Roman"/>
          <w:b/>
          <w:color w:val="000000"/>
          <w:sz w:val="24"/>
          <w:szCs w:val="24"/>
        </w:rPr>
        <w:t>.</w:t>
      </w:r>
      <w:proofErr w:type="gramEnd"/>
    </w:p>
    <w:p w:rsidR="00216F0F" w:rsidRPr="00D918FA" w:rsidRDefault="00216F0F" w:rsidP="00D918FA">
      <w:pPr>
        <w:spacing w:after="0" w:line="360" w:lineRule="auto"/>
        <w:ind w:firstLine="1418"/>
        <w:jc w:val="both"/>
        <w:rPr>
          <w:rFonts w:ascii="Times New Roman" w:hAnsi="Times New Roman"/>
          <w:sz w:val="24"/>
          <w:szCs w:val="24"/>
        </w:rPr>
      </w:pPr>
    </w:p>
    <w:p w:rsidR="00D96BD1" w:rsidRPr="00D918FA" w:rsidRDefault="00D96BD1" w:rsidP="00D918FA">
      <w:pPr>
        <w:spacing w:after="0" w:line="360" w:lineRule="auto"/>
        <w:ind w:firstLine="1418"/>
        <w:jc w:val="both"/>
        <w:rPr>
          <w:rFonts w:ascii="Times New Roman" w:hAnsi="Times New Roman"/>
          <w:sz w:val="24"/>
          <w:szCs w:val="24"/>
        </w:rPr>
      </w:pPr>
      <w:r w:rsidRPr="00D918FA">
        <w:rPr>
          <w:rFonts w:ascii="Times New Roman" w:hAnsi="Times New Roman"/>
          <w:sz w:val="24"/>
          <w:szCs w:val="24"/>
        </w:rPr>
        <w:t>O</w:t>
      </w:r>
      <w:r w:rsidR="00216F0F" w:rsidRPr="00D918FA">
        <w:rPr>
          <w:rFonts w:ascii="Times New Roman" w:hAnsi="Times New Roman"/>
          <w:sz w:val="24"/>
          <w:szCs w:val="24"/>
        </w:rPr>
        <w:t xml:space="preserve"> </w:t>
      </w:r>
      <w:r w:rsidRPr="00D918FA">
        <w:rPr>
          <w:rFonts w:ascii="Times New Roman" w:hAnsi="Times New Roman"/>
          <w:sz w:val="24"/>
          <w:szCs w:val="24"/>
        </w:rPr>
        <w:t xml:space="preserve">Excelentíssimo Senhor, </w:t>
      </w:r>
      <w:r w:rsidR="00D90184" w:rsidRPr="00D918FA">
        <w:rPr>
          <w:rFonts w:ascii="Times New Roman" w:hAnsi="Times New Roman"/>
          <w:sz w:val="24"/>
          <w:szCs w:val="24"/>
        </w:rPr>
        <w:t>ADEMIR FELÍCIO GARCIA</w:t>
      </w:r>
      <w:r w:rsidRPr="00D918FA">
        <w:rPr>
          <w:rFonts w:ascii="Times New Roman" w:hAnsi="Times New Roman"/>
          <w:sz w:val="24"/>
          <w:szCs w:val="24"/>
        </w:rPr>
        <w:t xml:space="preserve">, Prefeito Municipal de </w:t>
      </w:r>
      <w:proofErr w:type="spellStart"/>
      <w:r w:rsidRPr="00D918FA">
        <w:rPr>
          <w:rFonts w:ascii="Times New Roman" w:hAnsi="Times New Roman"/>
          <w:sz w:val="24"/>
          <w:szCs w:val="24"/>
        </w:rPr>
        <w:t>Figueiróp</w:t>
      </w:r>
      <w:r w:rsidR="00216F0F" w:rsidRPr="00D918FA">
        <w:rPr>
          <w:rFonts w:ascii="Times New Roman" w:hAnsi="Times New Roman"/>
          <w:sz w:val="24"/>
          <w:szCs w:val="24"/>
        </w:rPr>
        <w:t>olis</w:t>
      </w:r>
      <w:proofErr w:type="spellEnd"/>
      <w:r w:rsidR="00216F0F" w:rsidRPr="00D918FA">
        <w:rPr>
          <w:rFonts w:ascii="Times New Roman" w:hAnsi="Times New Roman"/>
          <w:sz w:val="24"/>
          <w:szCs w:val="24"/>
        </w:rPr>
        <w:t xml:space="preserve"> d</w:t>
      </w:r>
      <w:r w:rsidRPr="00D918FA">
        <w:rPr>
          <w:rFonts w:ascii="Times New Roman" w:hAnsi="Times New Roman"/>
          <w:sz w:val="24"/>
          <w:szCs w:val="24"/>
        </w:rPr>
        <w:t>’Oeste-MT, no uso de suas atribuições legais. Faz saber que a Câm</w:t>
      </w:r>
      <w:r w:rsidR="005B0544" w:rsidRPr="00D918FA">
        <w:rPr>
          <w:rFonts w:ascii="Times New Roman" w:hAnsi="Times New Roman"/>
          <w:sz w:val="24"/>
          <w:szCs w:val="24"/>
        </w:rPr>
        <w:t xml:space="preserve">ara Municipal de </w:t>
      </w:r>
      <w:proofErr w:type="spellStart"/>
      <w:r w:rsidR="005B0544" w:rsidRPr="00D918FA">
        <w:rPr>
          <w:rFonts w:ascii="Times New Roman" w:hAnsi="Times New Roman"/>
          <w:sz w:val="24"/>
          <w:szCs w:val="24"/>
        </w:rPr>
        <w:t>Figueirópolis</w:t>
      </w:r>
      <w:proofErr w:type="spellEnd"/>
      <w:r w:rsidR="005B0544" w:rsidRPr="00D918FA">
        <w:rPr>
          <w:rFonts w:ascii="Times New Roman" w:hAnsi="Times New Roman"/>
          <w:sz w:val="24"/>
          <w:szCs w:val="24"/>
        </w:rPr>
        <w:t xml:space="preserve"> d</w:t>
      </w:r>
      <w:r w:rsidRPr="00D918FA">
        <w:rPr>
          <w:rFonts w:ascii="Times New Roman" w:hAnsi="Times New Roman"/>
          <w:sz w:val="24"/>
          <w:szCs w:val="24"/>
        </w:rPr>
        <w:t>’Oeste-MT aprovou e eu sanciono a seguinte lei.</w:t>
      </w:r>
    </w:p>
    <w:p w:rsidR="005C5C44" w:rsidRPr="00D918FA" w:rsidRDefault="005C5C44" w:rsidP="00D918FA">
      <w:pPr>
        <w:pStyle w:val="Default"/>
        <w:spacing w:before="100" w:after="100"/>
        <w:jc w:val="both"/>
        <w:rPr>
          <w:b/>
          <w:bCs/>
          <w:color w:val="auto"/>
        </w:rPr>
      </w:pPr>
    </w:p>
    <w:p w:rsidR="00D918FA" w:rsidRPr="00D918FA" w:rsidRDefault="00D918FA" w:rsidP="00D918FA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TÍTULO I</w:t>
      </w:r>
    </w:p>
    <w:p w:rsidR="00D918FA" w:rsidRPr="00D918FA" w:rsidRDefault="00D918FA" w:rsidP="00D918FA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DAS DISPOSIÇÕES PRELIMINARES</w:t>
      </w:r>
    </w:p>
    <w:p w:rsidR="00D918FA" w:rsidRPr="00D918FA" w:rsidRDefault="00D918FA" w:rsidP="00D918FA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CAPÍTULO I</w:t>
      </w:r>
    </w:p>
    <w:p w:rsidR="00D918FA" w:rsidRPr="00D918FA" w:rsidRDefault="00D918FA" w:rsidP="00D918FA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DOS FUNDAMENTOS E OBJETIVOS</w:t>
      </w:r>
    </w:p>
    <w:p w:rsidR="00D918FA" w:rsidRPr="00D918FA" w:rsidRDefault="00D918FA" w:rsidP="00D918FA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1º</w:t>
      </w:r>
      <w:r w:rsidRPr="00D918F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Esta Lei disciplina o uso e a ocupação do solo no Município de </w:t>
      </w:r>
      <w:proofErr w:type="spellStart"/>
      <w:r w:rsidRPr="00D918FA">
        <w:rPr>
          <w:rFonts w:ascii="Times New Roman" w:hAnsi="Times New Roman"/>
          <w:sz w:val="24"/>
          <w:szCs w:val="24"/>
        </w:rPr>
        <w:t>Figueirópolis</w:t>
      </w:r>
      <w:proofErr w:type="spellEnd"/>
      <w:r w:rsidRPr="00D918FA">
        <w:rPr>
          <w:rFonts w:ascii="Times New Roman" w:hAnsi="Times New Roman"/>
          <w:sz w:val="24"/>
          <w:szCs w:val="24"/>
        </w:rPr>
        <w:t xml:space="preserve"> d’Oeste-MT</w:t>
      </w:r>
      <w:r w:rsidRPr="00D918F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que atende aos dispositivos da Lei Orgânica do Município.</w:t>
      </w:r>
    </w:p>
    <w:p w:rsidR="00D918FA" w:rsidRPr="00D918FA" w:rsidRDefault="00D918FA" w:rsidP="00D918F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color w:val="000000"/>
          <w:sz w:val="24"/>
          <w:szCs w:val="24"/>
          <w:lang w:eastAsia="pt-BR"/>
        </w:rPr>
        <w:t>Parágrafo único.</w:t>
      </w:r>
      <w:r w:rsidRPr="00D918F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Todo e qualquer parcelamento de terreno, inclusive o decorrente de divisão amigável ou judicial, sua ocupação, desmatamento, construção, reforma, ampliação e utilização de edifícios, são regulamentados pela presente Lei, observado, no que couberem, as disposições das Legislações Federal e Estadual pertinentes, Plano Diretor e Lei de Parcelamento do solo do Município.</w:t>
      </w:r>
    </w:p>
    <w:p w:rsidR="00D918FA" w:rsidRPr="00D918FA" w:rsidRDefault="00D918FA" w:rsidP="00D918F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2º</w:t>
      </w:r>
      <w:r w:rsidRPr="00D918F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Esta Lei tem como objetivos:</w:t>
      </w:r>
    </w:p>
    <w:p w:rsidR="00D918FA" w:rsidRPr="00D918FA" w:rsidRDefault="00D918FA" w:rsidP="00D918F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color w:val="000000"/>
          <w:sz w:val="24"/>
          <w:szCs w:val="24"/>
          <w:lang w:eastAsia="pt-BR"/>
        </w:rPr>
        <w:t>I. Regulamentar a abertura de vias públicas e a subdivisão de glebas em lotes para fins urbanos;</w:t>
      </w:r>
    </w:p>
    <w:p w:rsidR="00D918FA" w:rsidRPr="00D918FA" w:rsidRDefault="00D918FA" w:rsidP="00D918F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color w:val="000000"/>
          <w:sz w:val="24"/>
          <w:szCs w:val="24"/>
          <w:lang w:eastAsia="pt-BR"/>
        </w:rPr>
        <w:t>II. Disciplinar a localização de atividades dentro do território do Município;</w:t>
      </w:r>
    </w:p>
    <w:p w:rsidR="00D918FA" w:rsidRPr="00D918FA" w:rsidRDefault="00D918FA" w:rsidP="00D918F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color w:val="000000"/>
          <w:sz w:val="24"/>
          <w:szCs w:val="24"/>
          <w:lang w:eastAsia="pt-BR"/>
        </w:rPr>
        <w:lastRenderedPageBreak/>
        <w:t>III. Regulamentar a implantação de edificações nos lotes.</w:t>
      </w:r>
    </w:p>
    <w:p w:rsidR="00D918FA" w:rsidRPr="00D918FA" w:rsidRDefault="00D918FA" w:rsidP="00D918FA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CAPÍTULO II</w:t>
      </w:r>
    </w:p>
    <w:p w:rsidR="00D918FA" w:rsidRPr="00D918FA" w:rsidRDefault="00D918FA" w:rsidP="00D918FA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DAS DEFINIÇÕES</w:t>
      </w:r>
    </w:p>
    <w:p w:rsidR="00D918FA" w:rsidRPr="00D918FA" w:rsidRDefault="00D918FA" w:rsidP="00D918FA">
      <w:pPr>
        <w:pStyle w:val="Default"/>
        <w:spacing w:before="100" w:after="100"/>
        <w:jc w:val="both"/>
        <w:rPr>
          <w:color w:val="auto"/>
        </w:rPr>
      </w:pPr>
      <w:r w:rsidRPr="00D918FA">
        <w:rPr>
          <w:b/>
          <w:bCs/>
          <w:color w:val="auto"/>
        </w:rPr>
        <w:t xml:space="preserve">Art. 3º </w:t>
      </w:r>
      <w:r w:rsidRPr="00D918FA">
        <w:rPr>
          <w:color w:val="auto"/>
        </w:rPr>
        <w:t xml:space="preserve">Para os efeitos desta lei entende-se por: 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I. Zonas: são porções do território do Município definidas por Lei e caracterizadas pela função social específica;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Alinhamento: é a linha divisória entre terreno de propriedade particular e logradouro público;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III. Alvará de parcelamento e alvará de obras: são documentos de obras sujeitas à fiscalização do Poder Executivo;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IV. Área construída: é a soma das áreas de todos os pavimentos de uma edificação;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V. Área de uso institucional: é o espaço reservado para fins específicos de utilidade pública, tais como educação, saúde, cultura e administração;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VI. Área ocupada: é a área de projeção horizontal da edificação sobre o terreno;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VII. Desmembramento: é a subdivisão de gleba com área inferior a 5.000 m² em lotes destinados à edificação, com aproveitamento do sistema viário existente desde que não implique na abertura de novos logradouros públicos nem no prolongamento, modificação ou ampliação dos já existentes;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VIII. Desdobro: é a subdivisão de um lote urbano em dois;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IX. Embargo: é o ato administrativo que determina a paralisação de uma obra;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X. Equipamentos comunitários: são os equipamentos públicos de educação, cultura, saúde, lazer e similares;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XI. Equipamentos urbanos: são os equipamentos públicos de abastecimento de água, serviços de esgoto, energia elétrica, iluminação pública, coleta de lixo, rede telefônica e gás canalizado;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XII. Espaço ou área livre de uso público: é a área de uso comum ou especial da população, destinada, exclusiva ou predominantemente, à recreação ou lazer ao ar livre;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XIII. Faixa de rolamento: é cada uma das faixas que compõem a área destinada ao tráfego de veículos nas vias de circulação;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XIV. Faixa de domínio: é a área de propriedade pública destinada à circulação, que poderá ter largura superior à do conjunto das faixas de rolamento e calçadas;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lastRenderedPageBreak/>
        <w:t>XV. Faixa não edificante: é a área do terreno onde não é permitida qualquer construção,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proofErr w:type="gram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vinculando</w:t>
      </w:r>
      <w:proofErr w:type="gram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-se o seu uso a uma servidão;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XVI. Faixa sanitária: é a área não edificante cujo uso está vinculado à servidão de passagem para efeito de drenagem e captação de águas pluviais ou construção de rede de esgoto;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XVII. Frente do lote: é a divisa lindeira à via oficial de circulação que dá acesso ao lote;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XVIII. “Habite-se”: é o documento que autoriza a ocupação de edificações sujeitas à fiscalização do Poder Executivo;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XIX. Lote: é a parcela de terreno, constituindo unidade autônoma de propriedade, com pelo menos um acesso por via oficial de circulação;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XX. Logradouro público: é a área de uso comum ou especial da população, destinada exclusiva ou predominantemente à circulação;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XXI. Loteamento: é a subdivisão da gleba em lotes destinados a edificação de qualquer natureza, com abertura de novas vias de circulação, prolongamento, modificação ou ampliação das vias existentes;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XXII. Gleba: é a área de terra que não foi objeto de parcelamento para fins urbanos;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XXIII. Habitação de interesse social: é aquela destinada à população que vive em condições de habitação precária ou aufere renda familiar inferior a 3 (três) salários mínimos;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XXIV. Parcelamento: é a subdivisão de gleba sob forma de loteamento, desmembramento ou desdobro;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XXV. Passeio ou calçada: é a parte do logradouro público reservado ao tráfego de pedestres;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XXVI. Recuo: é a distância entre o limite externo da área ocupada pela edificação e a divisa do lote;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XXVII. Taxa de ocupação: é o quociente entre a área ocupada pela edificação e a área total do terreno a ela vinculada;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XXVIII. Termo de verificação: é o ato através do qual o Poder Executivo, após a devida vistoria, certifica a execução correta das obras exigidas pela legislação competente;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XXIX. Via de circulação: é o espaço de uso comum da população destinado à circulação de veículos, de pedestres ou de ambos;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XXX. Via de circulação interrompida: é aquela em que uma de suas extremidades não desemboca em outra;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XXXI. Vistoria: é a diligência efetuada pelo Poder Executivo, tendo por fim verificar as condições de uma obra ou o uso de um edifício ou terreno;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lastRenderedPageBreak/>
        <w:t>XXXII. Potencial construtivo de um lote ou terreno: é a área possível de nele ser construído, aplicando- se o coeficiente de aproveitamento;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XXXIII. Solo urbano não edificado, não utilizado ou subutilizado: é a área, lote ou terreno desocupado, sem edificações, sem utilização por atividade social ou econômica ou que apresente coeficiente de aproveitamento ou requisitos menor que aquele definido como mínimo;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XXXIV. Corredores de comércio e serviços: são as faixas constituídas pelos lotes </w:t>
      </w:r>
      <w:proofErr w:type="spell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lindeiros</w:t>
      </w:r>
      <w:proofErr w:type="spell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, de cada lado da rede de vias principais urbanas, destinadas, preferencialmente, aos usos associados a veículos ou geradores de grande volume de tráfego.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TÍTULO II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DAS NORMAS DE PROCEDIMENTOS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CAPÍTULO I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DAS DIRETRIZES PARA O PARCELAMENTO DO SOLO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4º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Antes da elaboração dos projetos de parcelamento de gleba o interessado deverá solicitar à Prefeitura Municipal a expedição de Diretrizes Preliminares de Parcelamento, apresentando, para este fim, requerimento acompanhado dos seguintes elementos e informações: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I. Duas vias de planta da gleba na escala de 1:1000, contendo: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a. As divisas da área a ser parcelada;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b. As curvas de nível de metro </w:t>
      </w:r>
      <w:proofErr w:type="spell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em</w:t>
      </w:r>
      <w:proofErr w:type="spell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metro;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c. A localização dos cursos d'água, nascentes, bosques, árvores e construções existentes;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d. A indicação dos arruamentos contíguos em todo o perímetro com a localização das vias de comunicação, das áreas livres e equipamentos urbanos e comunitários existentes em suas adjacências;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e. O tipo de uso predominante a que o loteamento se destina;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f. As características, dimensões e localização das zonas de uso contíguas;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g. A proposta de abertura das vias de circulação, quadras, lotes e reservas de áreas públicas;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lastRenderedPageBreak/>
        <w:t>h. O croqui de localização da gleba, em escala 1:5000, contendo as referências que possibilitem a perfeita localização da mesma.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Certidão de matrícula da área, atualizada, expedida pelo Cartório de Registro de Imóveis.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5º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Atendendo ao requerimento do interessado o Poder Executivo, após vistoria na área pela área responsável expedirá as Diretrizes Preliminares de Parcelamento contendo: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I. Anteprojeto com as vias de circulação a integrarem o sistema viário do Município, quadras, lotes e as áreas de uso público;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As obras necessárias que permitirão a implantação do loteamento em terrenos baixos, alagadiços, sujeitos a inundação e insalubres, a serem executadas antes do parcelamento;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III. As obras e as diretrizes dos dispositivos necessários à retenção e absorção das águas pluviais, visando à prevenção da erosão;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IV. A fixação de zonas de uso, assim como das Áreas Especiais;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V. As obras e equipamentos mínimos exigíveis pelo Município.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1º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Decorrido o prazo de 2 (dois) anos, sem que o interessado tenha apresentado o requerimento para a aprovação definitiva do parcelamento, as diretrizes serão canceladas automaticamente, não sendo permitido a sua renovação.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2º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Caso as informações fornecidas pelo responsável técnico pelo empreendimento estejam em desacordo com a realidade, as diretrizes fornecidas ficam canceladas.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6º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projeto de parcelamento elaborado em conformidade com as diretrizes expedidas será apresentado pelo interessado que requererá, junto ao Poder Executivo, a correspondente aprovação, juntando-se as seguintes informações: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I. Certidão de matrícula do imóvel, atualizada, expedida pelo Cartório de Registro de Imóveis;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Certidão de ônus reais que pesem sobre o imóvel;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III. Certidão negativa de tributos municipais sobre o imóvel, quando se tratar de área urbana;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IV. Projeto em 5 (cinco) vias assinadas pelo proprietário e profissionais habilitados, devidamente aprovadas, contendo: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a. Subdivisão das quadras em lotes, com as respectivas divisões e numeração, localização e configuração das áreas que passarão ao domínio do Município no ato de registro do loteamento;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b. Sistemas de vias com as respectivas hierarquias;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c. As dimensões lineares e angulares do projeto, com raios, cordas, pontos de tangência e de ângulos centrais das vias;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lastRenderedPageBreak/>
        <w:t>d. Os perfis longitudinais e transversais de todas as vias de circulação e praças;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e. A indicação de marcos de alinhamentos e nivelamentos localizados nos ângulos de curvas de vias projetadas;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f. A indicação de plantas de níveis e perfis de todas as linhas de escoamentos das águas pluviais;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V. Uma via do projeto em meio eletrônico;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VI. Projetos dos equipamentos urbanos de responsabilidade do loteador, em 5 (cinco) vias, previamente aprovados pelas concessionárias respectivas dos serviços a serem implantados;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VII. Memorial descritivo em 5 (cinco) vias, assinado pelo proprietário e pelo profissional habilitado, contendo: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a. Descrição sucinta do loteamento com as suas características;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b. Descrição das áreas públicas que passarão ao domínio do Município no ato de registro do loteamento;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VIII. Orçamento e cronograma físico-financeiro de execução das obras e equipamentos urbanos que deverão ser executados pelo loteador dentro dos prazos previstos;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IX. Anotação de Responsabilidade Técnica (ART), devidamente recolhida pelos profissionais envolvidos no projeto;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X. Termo de Responsabilidade do empreendedor e dos profissionais técnicos sobre as obras de infraestrutura exigidas pelo Município por período de 5 (cinco) anos após a aprovação do parcelamento.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7º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Estando o projeto de acordo com esta Lei e com as legislações municipal, federal e estadual pertinentes, o mesmo será aprovado pelo Poder Executivo. 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8º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loteador caucionará como garantia da execução das obras de infraestrutura previstas na aprovação do parcelamento de solo, outros imóveis que não o que está sendo parcelado, localizados no Município de </w:t>
      </w:r>
      <w:proofErr w:type="spellStart"/>
      <w:r w:rsidRPr="00D918FA">
        <w:rPr>
          <w:rFonts w:ascii="Times New Roman" w:hAnsi="Times New Roman"/>
          <w:sz w:val="24"/>
          <w:szCs w:val="24"/>
        </w:rPr>
        <w:t>Figueirópolis</w:t>
      </w:r>
      <w:proofErr w:type="spellEnd"/>
      <w:r w:rsidRPr="00D918FA">
        <w:rPr>
          <w:rFonts w:ascii="Times New Roman" w:hAnsi="Times New Roman"/>
          <w:sz w:val="24"/>
          <w:szCs w:val="24"/>
        </w:rPr>
        <w:t xml:space="preserve"> d’Oeste-MT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, cujo valor seja correspondente a, no mínimo, 100% (cem por cento) do custo das obras a serem realizadas pelo empreendedor.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1º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empreendedor deverá apresentar, no mínimo, 3 (três) laudos de avaliação imobiliária fornecidos por profissional habilitado pelo CRECI.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2º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 caução deverá ser apresentada mediante escritura pública de hipoteca e o seu valor será fixado a juízo do Poder Executivo.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lastRenderedPageBreak/>
        <w:t>§ 3º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 critério do Poder Executivo, o loteador poderá oferecer como instrumento de garantia fiança bancária ou outra garantia economicamente idônea, sendo vedado garantia prestada por nota promissória e assemelhados.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4º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No ato de aprovação do projeto, bem como do instrumento de garantia mencionado neste artigo, deverão constar especificamente às obras e serviços que o loteador fica obrigado a executar, nos prazos fixados no cronograma físico-financeiro.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9º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Pagos os emolumentos devidos e outorgada a escritura de caução mencionada no artigo anterior, o Poder Executivo expedirá o competente Alvará de Parcelamento.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1º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No Alvará de Parcelamento será explicitado o cronograma físico-financeiro aprovado para a execução das obras e a aceitação da garantia.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2º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Caso haja necessidade de alteração nos projetos aprovados, o loteador deverá obter autorização do Poder Executivo e/ou concessionárias anteriormente às suas execuções.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10.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loteador deverá comunicar, por escrito, o início de execução das obras de infraestrutura, ao Poder Executivo ou à concessionária do serviço, para que seja possível o acompanhamento das obras.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11.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Findo o prazo definido no inciso VIII do artigo 6º, caso não tenham sido realizadas as obras e os serviços exigidos, o Poder Executivo, sem prejuízo de outras medidas legais cabíveis, deverá implementá-las, executando a garantia oferecida e comunicando a omissão do loteador ao Ministério Público ou ao Delegado de Polícia.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12.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Uma vez realizadas todas as obras e serviços exigidos, o Poder Executivo, a requerimento do loteador e após a devida fiscalização, expedirá o termo de verificação e liberará o loteador da garantia oferecida.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Parágrafo único.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requerimento do loteador deverá ser acompanhado de uma cópia em meio eletrônico dos projetos do loteamento, tal como executados, que será considerada oficial para todos os efeitos.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TÍTULO III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DAS NORMAS TÉCNICAS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CAPÍTULO I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DO PARCELAMENTO DO SOLO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lastRenderedPageBreak/>
        <w:t>Art. 13.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Qualquer gleba objeto de parcelamento deverá ter acesso por, no mínimo, duas vias com faixa de domínio de, no mínimo, 14,00 m de largura, interligando a gleba a uma via do sistema existente.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Parágrafo único.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ônus das obras eventualmente necessárias para a construção ou alargamento da referida via de acesso recairá sobre o loteador. Entendendo que a via deva ter rede de água e esgoto, energia elétrica, iluminação pública, guias e sarjetas, pavimentação asfáltica e calçada com acessibilidade.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14.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As vias de circulação de qualquer loteamento deverão garantir continuidade de traçado com as vias de circulação das áreas adjacentes e atender as disposições estabelecidas pelo Município.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1º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As vias de circulação que constituírem prolongamento de vias existentes deverão ter a mesma seção transversal dessas, observando, quando possível, a largura mínima de 14 (quatorze) metros.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2º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Não serão permitidas vias sem saída.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§ 3º Será permitido dispositivo de retorno, com raio de 14,00 m, nas vias para uso exclusivo de residência e em loteamentos da Zona Urbana.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15.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As quadras terão comprimentos máximos de 214 (duzentos e quatorze) metros.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16.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As áreas da gleba a ser parcelada que serão transferidas ao patrimônio municipal, conforme definido na legislação e devem obedecer aos seguintes critérios de localização: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I. Estarem agrupadas em, no máximo, duas áreas com o mínimo de 1.000,00 m² cada;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Ter frentes para, pelo menos, três vias públicas ou ser contíguas às existentes;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III. Não ter divisas comuns com lotes privados do parcelamento;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IV. No caso de existência de Áreas de Preservação Permanente na gleba a ser parcelada, as áreas livres deverão se localizar junto àquelas.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1º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No caso de parcelamento de gleba, com área inferior a 30.000 (trinta mil) m², o disposto no “caput” deste artigo poderá ser dispensado, de forma integral ou parcial, a critério do Poder Executivo.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2º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As exigências do “caput” deste artigo não se aplicam ao desdobramento de lotes resultantes de processo regular de parcelamento do solo para fins urbanos.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3º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No caso de parcelamento de gleba, com área inferior a 10.000 (dez mil) m², na Zona Urbana, a reserva de áreas públicas poderá ser substituída por outorga onerosa a ser regulamentada em lei própria.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lastRenderedPageBreak/>
        <w:t>Art. 17.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leito carroçável das vias de circulação deverá apresentar: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I. Declividade longitudinal não superior a 10% e não inferior a 0,5%;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Declividade transversal do eixo das faixas até o meio fio de 1% a 3%;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18.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alinhamento nos cruzamentos das vias de circulação de veículos deverá ser concordado por um arco de circunferência comum, de raio de 9,00 m.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19.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Os lotes de esquina deverão ter dimensão mínima que permita a inserção da figura de um retângulo com as dimensões mínimas previstas pelo Município, para as diferentes zonas ou usos.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20.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Os taludes resultantes de movimentos de terra deverão ter as seguintes características: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I. Declividade não superior a 50% (1:2) para taludes em corte e 40% (1:2,5) para taludes de aterro;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Revestimentos com vegetação rasteira apropriada para controle de erosão, podendo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proofErr w:type="gram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ser</w:t>
      </w:r>
      <w:proofErr w:type="gram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dispensado, a critério do Poder Executivo, em taludes de altura inferior a 1 (um) metro e declividade inferior a 1:3;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III. Canaletas e outros dispositivos de drenagem na crista e na saia do talude, caso este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proofErr w:type="gram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tenha</w:t>
      </w:r>
      <w:proofErr w:type="gram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altura superior a 2 (dois) metros;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Parágrafo único.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Os taludes podem ser substituídos por muros de arrimo ou proteção, a expensas do loteador.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21.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Deve ser preservada até a edificação, a cobertura vegetal de lotes ou terrenos,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proofErr w:type="gram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devidamente</w:t>
      </w:r>
      <w:proofErr w:type="gram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aparada e livre de lixo ou entulho.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Parágrafo único.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Por motivo de saúde pública, o Poder Executivo deverá notificar o loteador para executar, à suas custas, a capinação e a remoção de entulho de lotes ainda de sua propriedade, observando as sanções contidas no Código de Posturas do Município.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22.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Nos lotes em declive, quando a diferença entre as cotas da frente e do fundo do lote for igual ou maior que 1,00 m, os lotes situados a jusante deverão ser dotados de servidão de passagem, com largura mínima de 0,50 m para drenagem das águas pluviais e escoamento dos esgotos provenientes dos lotes vizinhos situados a montante.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Parágrafo único.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 referida servidão deverá constar do memorial descritivo do lote.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23.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parcelamento de solo já instalado e que esteja em desconformidade com </w:t>
      </w:r>
      <w:proofErr w:type="gram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o legislação</w:t>
      </w:r>
      <w:proofErr w:type="gram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e com a presente Lei, na data de sua publicação, deverá proceder à sua regularização, submetendo-se às seguintes disposições: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lastRenderedPageBreak/>
        <w:t>I. Solicitar a regularização junto ao Poder Executivo dentro dos prazos previstos no Plano Diretor;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Apresentar aprovação dos órgãos estaduais e federais competentes;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III. Atender aos seguintes critérios mínimos: possuir sistema de abastecimento de água, coleta de esgoto e resíduos sólidos, rede de energia elétrica e iluminação pública aprovados, conforme a atribuição, pelo Poder Executivo ou pelas empresas concessionárias de tais serviços públicos.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24.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Estando a documentação de acordo com a legislação e pago os emolumentos, o Poder Executivo expedirá o Alvará de Regularização de Parcelamento.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25.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No caso de desmembramento ou desdobro de lote edificável que já seja resultado do parcelamento efetuado anteriormente, o interessado deverá requerer aprovação ao Poder Executivo, atendendo as disposições da legislação e apresentando: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I. Certidão de matrícula do imóvel, atualizada;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Croqui e memorial descritivo do imóvel a desdobrar assinado pelo proprietário e por profissional habilitado, contendo: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a. Situação atual e situação proposta;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b. Planta da quadra onde se localiza o lote ou terreno com as respectivas dimensões, numerações e ruas adjacentes àquela;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c. Indicação de faixas não edificantes, se houver;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d. Indicação dos confrontantes.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CAPÍTULO II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DO USO E OCUPAÇÃO DO SOLO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26.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Toda construção, incluindo as ampliações, a serem efetuadas na Zona Urbana, Zona de Urbanização de Interesse Turístico, Zona de Expansão Urbana Mista, Zona de Proteção Ambiental e Zona de Expansão Industrial deverão solicitar, previamente ao Poder Executivo,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Alvará de Construção, apresentando: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I. Requerimento assinado pelo proprietário do imóvel;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Cópia atualizada da matrícula do imóvel ou do contrato de compra e venda;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lastRenderedPageBreak/>
        <w:t>III. Projeto técnico, em 4 (quatro) vias, em conformidade com as disposições constantes no Plano Diretor e desta Lei, devidamente assinado pelo proprietário e pelo responsável técnico;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IV. Memorial descritivo, em 4 (quatro) vias, devidamente assinado pelo proprietário e pelo responsável técnico;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V. Anotação de Responsabilidade Técnica (ART) devidamente recolhida.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1°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responsável técnico deverá estar inscrito, previamente, no cadastro mobiliário da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Prefeitura Municipal.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2º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Poder Executivo deverá editar Decreto regulamentando este artigo.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27.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Poder Executivo, através de seu Serviço competente, analisará o projeto e solicitará, caso necessário, correções para atender a legislação que deverão ser providenciadas pelo responsável técnico.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28.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coeficiente de aproveitamento, taxa de ocupação, taxa de permeabilidade e outros parâmetros permitidos para os lotes contidos nas diferentes Zonas e Áreas Especiais são aqueles constantes na legislação municipal.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29.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No caso de construções com mais de dois pavimentos acima do nível do solo, exige-se recuo de frente igual a 1/6 da medida da altura total da construção, observando-se o mínimo de 5 (cinco) metros.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30.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Para construção com mais de dois pavimentos acima do nível do solo, exige-se recuo e afastamento de 1/4 da medida da altura da construção, nas divisas laterais e na divisa de fundo, observando-se o mínimo de 2 (dois) metros.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Parágrafo único.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Se a edificação possuir faces com parede-cega, admite-se para estas o recuo e afastamento de 1/6 da altura total da construção, observando-se o mínimo de 2 (dois) metros.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31.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Fica proibida a construção, para fins residenciais, em lotes com frente para as rodovias.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32.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As atividades julgadas incômodas por razão de perigo, ruídos, odores ou tráfegos, bem como de outras atividades praticadas permanentemente, somente poderão ser instaladas a mais de 100 m de hospitais, unidades de saúde e de estabelecimentos de ensino.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33.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As áreas destinadas a estacionamento de veículos nos edifícios comerciais ou de serviços deverão ser na proporção de uma vaga para cada 100 m² da área bruta construída ou fração.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Parágrafo único.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Nos casos de edificações que contenham diversas salas comerciais deverá ser garantida, no mínimo, uma vaga para cada sala ou unidade.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CAPÍTULO III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DOS LOTES E DO SEU USO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34.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Atividades comerciais como estábulos, cocheiras, granjas, avícolas, currais, chiqueiros e estabelecimentos congêneres somente serão permitidos na Zona Rural.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35.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 utilização, ampliação e as mudanças de uso dos imóveis situados na Zona Urbana só serão autorizadas se os usos, os lotes e as edificações estiverem de acordo com o disposto na presente Lei e na legislação específica.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36.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Nos casos de estabelecimentos comerciais, industriais ou de prestação de serviços, a expedição do Alvará de Localização é condicionada ao atendimento do disposto em legislação específica e na presente Lei e deverá ser solicitada pelo interessado mediante a apresentação de: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I. Requerimento com indicação do nome da pessoa ou razão social responsável pela atividade, com firma reconhecida do responsável;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Endereço do local onde a atividade deverá ser exercida;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III. Descrição sucinta de cada atividade exercida em um mesmo endereço, sob uma mesma razão social.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IV. Declaração da pessoa ou da empresa interessada em cumprir todas as determinações contidas legislação específica e nesta Lei, sob pena de ter o seu Alvará de Localização cancelado e as atividades encerradas.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CAPÍTULO IV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DA RESPONSABILIDADE TÉCNICA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37.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Para efeito desta Lei somente profissional legalmente habilitado poderá ser responsável técnico por projetos ou especificações de parcelamento de solo ou construção a serem submetidos ao Poder Executivo.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1°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 responsabilidade civil pelos serviços do projeto, cálculo, especificação e execução cabe aos seus autores, responsáveis técnicos e construtores.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2°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Só poderão ser responsáveis técnicos os profissionais que apresentarem a certidão de registro do Conselho Regional de Engenharia, Arquitetura e Agronomia CREA/CAU e estarem cadastrados na Prefeitura Municipal.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TÍTULO IV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DAS INFRAÇÕES E PENALIDADES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38.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 infração a qualquer dispositivo desta Lei poderá acarretar, sem prejuízo das medidas de natureza civil e criminal previstas no Código Civil e na Lei nº 6.766 de 10 de dezembro de 1.979 e suas alterações, a aplicação das seguintes penalidades: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I. Multa;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Embargo;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III. Interdição;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IV. Demolição.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39.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No caso de qualquer infração aos dispositivos desta Lei ou no de realização de obra ou serviço que ofereça perigo às pessoas, o infrator ou dono da obra ou serviço será notificado para, dentro do prazo que lhe for determinado, regularizar a situação.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40.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decurso do prazo da notificação, sem que tenha sido regularizada a situação que deu causa, acarretará: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I. Multa de </w:t>
      </w:r>
      <w:r w:rsidRPr="00D918FA">
        <w:rPr>
          <w:rFonts w:ascii="Times New Roman" w:hAnsi="Times New Roman"/>
          <w:bCs/>
          <w:sz w:val="24"/>
          <w:szCs w:val="24"/>
          <w:lang w:eastAsia="pt-BR"/>
        </w:rPr>
        <w:t xml:space="preserve">300 (trezentas) </w:t>
      </w:r>
      <w:proofErr w:type="spell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UPFs</w:t>
      </w:r>
      <w:proofErr w:type="spell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no caso de infração consistente na apresentação de projeto para exame do Poder Executivo, com indicação falsa sobre o imóvel a ser parcelado, modificado ou utilizado;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O embargo da obra ou do serviço ou do imóvel até sua regularização, nos outros casos de infração.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41.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desrespeito ao embargo da obra, serviço ou uso do imóvel, independentemente de outras penalidades cabíveis, sujeitará o infrator às multas especificadas no § 1º deste artigo, aplicadas por dia de prosseguimento da obra ou serviço ou de uso de imóvel à revelia do embargo e, ainda, a demolição das partes em desacordo com as especificações desta Lei.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1º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As multas diárias aplicáveis, conforme o tipo de infração são as seguintes: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I. Executar obras em descordo com as indicações apresentadas no projeto ou no alvará de parcelamento: </w:t>
      </w:r>
      <w:r w:rsidRPr="00D918FA">
        <w:rPr>
          <w:rFonts w:ascii="Times New Roman" w:hAnsi="Times New Roman"/>
          <w:bCs/>
          <w:sz w:val="24"/>
          <w:szCs w:val="24"/>
          <w:lang w:eastAsia="pt-BR"/>
        </w:rPr>
        <w:t xml:space="preserve">300 (trezentas) </w:t>
      </w:r>
      <w:proofErr w:type="spell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UPFs</w:t>
      </w:r>
      <w:proofErr w:type="spell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II. Executar obras em desconformidade com as normas técnicas desta Lei: </w:t>
      </w:r>
      <w:r w:rsidRPr="00D918FA">
        <w:rPr>
          <w:rFonts w:ascii="Times New Roman" w:hAnsi="Times New Roman"/>
          <w:bCs/>
          <w:sz w:val="24"/>
          <w:szCs w:val="24"/>
          <w:lang w:eastAsia="pt-BR"/>
        </w:rPr>
        <w:t xml:space="preserve">300 (trezentas) 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UPF;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III. III executar qualquer obra de parcelamento sem respectivo alvará: </w:t>
      </w:r>
      <w:r w:rsidRPr="00D918FA">
        <w:rPr>
          <w:rFonts w:ascii="Times New Roman" w:hAnsi="Times New Roman"/>
          <w:bCs/>
          <w:sz w:val="24"/>
          <w:szCs w:val="24"/>
          <w:lang w:eastAsia="pt-BR"/>
        </w:rPr>
        <w:t xml:space="preserve">600 (seiscentas) </w:t>
      </w:r>
      <w:proofErr w:type="spell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UPFs</w:t>
      </w:r>
      <w:proofErr w:type="spell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lastRenderedPageBreak/>
        <w:t xml:space="preserve">IV. Edificar sem o respectivo alvará: </w:t>
      </w:r>
      <w:r w:rsidRPr="00D918FA">
        <w:rPr>
          <w:rFonts w:ascii="Times New Roman" w:hAnsi="Times New Roman"/>
          <w:bCs/>
          <w:sz w:val="24"/>
          <w:szCs w:val="24"/>
          <w:lang w:eastAsia="pt-BR"/>
        </w:rPr>
        <w:t xml:space="preserve">600 (seiscentas) </w:t>
      </w:r>
      <w:proofErr w:type="spellStart"/>
      <w:r w:rsidRPr="00D918FA">
        <w:rPr>
          <w:rFonts w:ascii="Times New Roman" w:hAnsi="Times New Roman"/>
          <w:bCs/>
          <w:sz w:val="24"/>
          <w:szCs w:val="24"/>
          <w:lang w:eastAsia="pt-BR"/>
        </w:rPr>
        <w:t>UPFs</w:t>
      </w:r>
      <w:proofErr w:type="spell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V. Faltar com as precauções necessárias para a segurança ou causar danos a pessoas ou propriedades, ou acarretar prejuízo a logradouros públicos em razão da execução de obras: </w:t>
      </w:r>
      <w:r w:rsidRPr="00D918FA">
        <w:rPr>
          <w:rFonts w:ascii="Times New Roman" w:hAnsi="Times New Roman"/>
          <w:bCs/>
          <w:sz w:val="24"/>
          <w:szCs w:val="24"/>
          <w:lang w:eastAsia="pt-BR"/>
        </w:rPr>
        <w:t xml:space="preserve">300 (trezentas) </w:t>
      </w:r>
      <w:proofErr w:type="spell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UPFs</w:t>
      </w:r>
      <w:proofErr w:type="spell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VI. Anunciar, por qualquer meio, a venda, promessa ou cessão de direitos relativos a imóveis, sem aprovação no Poder Executivo e o devido registro no Cartório de Registro de Imóveis do parcelamento ou após o término de prazos concedidos em qualquer caso, quando os efeitos formais ou materiais contrariarem as disposições da legislação municipal vigente: 300 (trezentas) </w:t>
      </w:r>
      <w:proofErr w:type="spell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UPFs</w:t>
      </w:r>
      <w:proofErr w:type="spell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VII. Utilização de imóvel para residência ou para exercício de atividade de comércio, serviços ou indústrias sem “habite-se” ou sem licença para localização e funcionamento, ou utilização em desacordo com os termos de licença expedida, inclusive prazo de validade: </w:t>
      </w:r>
      <w:r w:rsidRPr="00D918FA">
        <w:rPr>
          <w:rFonts w:ascii="Times New Roman" w:hAnsi="Times New Roman"/>
          <w:bCs/>
          <w:sz w:val="24"/>
          <w:szCs w:val="24"/>
          <w:lang w:eastAsia="pt-BR"/>
        </w:rPr>
        <w:t xml:space="preserve">300 (trezentas) </w:t>
      </w:r>
      <w:proofErr w:type="spell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UPFs</w:t>
      </w:r>
      <w:proofErr w:type="spellEnd"/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2º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Na reincidência, dentro de 12 (doze) meses contados da primeira infração, a multa será em dobro.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42.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 aplicação das penalidades previstas neste capítulo não dispensa o atendimento das disposições desta Lei, de suas normas regulamentares, bem como não desobriga o infrator de ressarcir eventuais danos resultantes da infração na forma da legislação vigente.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TÍTULO V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DAS DISPOSIÇÕES GERAIS E TRANSITÓRIAS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43.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Os proprietários de imóveis urbanos deverão pavimentar os passeios públicos fronteiriços e mantê-los limpos e desobstruídos.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44.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São considerados não conformes os usos, lotes e edificações utilizadas em datas anteriores à da promulgação da presente Lei e que não atendam às suas disposições.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45.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Os lotes não conformes são considerados edificáveis.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Parágrafo único.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São permitidas alterações de área ou configuração de lotes não conformes, desde que não agravem sua desconformidade em relação à presente Lei.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46.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As condições não conformes só poderão sofrer reformas ou ampliações que não agravem sua desconformidade em relação a presente Lei.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lastRenderedPageBreak/>
        <w:t>Art. 47.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As mudanças de uso em lotes ou edificações não conformes são permitidas desde que o novo uso seja permitido pela presente Lei na zona em que estiverem situados.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48.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Esta Lei e sua execução ficam sujeitas ao contínuo acompanhamento, revisão e adaptação às circunstâncias emergentes mobilizados, para tanto, os mecanismos de participação a serem previstas em legislação específica como o Plano Diretor.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Parágrafo Único: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Poder Executivo deverá promover, em 360 dias após a publicação desta Lei, estudo técnico para definir o mapa de zoneamento sócio econômico ecológico do Município, a ser aprovado em lei específica.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49.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As despesas decorrentes com a execução da presente Lei correrão por conta das dotações orçamentárias vigentes, suplementadas se necessário.</w:t>
      </w:r>
    </w:p>
    <w:p w:rsidR="00DF35AB" w:rsidRPr="00D918FA" w:rsidRDefault="00D918FA" w:rsidP="00D918FA">
      <w:pPr>
        <w:spacing w:after="0" w:line="240" w:lineRule="auto"/>
        <w:jc w:val="both"/>
        <w:rPr>
          <w:rFonts w:ascii="Times New Roman" w:eastAsia="Batang" w:hAnsi="Times New Roman"/>
          <w:sz w:val="24"/>
          <w:szCs w:val="24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50.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Esta Lei entrará em vigor na data de sua publicação, revogadas as disposições em contrário</w:t>
      </w:r>
    </w:p>
    <w:p w:rsidR="009E4B29" w:rsidRPr="00D918FA" w:rsidRDefault="009E4B29" w:rsidP="00D918FA">
      <w:pPr>
        <w:spacing w:after="0" w:line="240" w:lineRule="auto"/>
        <w:ind w:firstLine="1418"/>
        <w:jc w:val="both"/>
        <w:rPr>
          <w:rFonts w:ascii="Times New Roman" w:eastAsia="Batang" w:hAnsi="Times New Roman"/>
          <w:sz w:val="24"/>
          <w:szCs w:val="24"/>
        </w:rPr>
      </w:pPr>
    </w:p>
    <w:p w:rsidR="00D918FA" w:rsidRDefault="00D918FA" w:rsidP="00D918FA">
      <w:pPr>
        <w:spacing w:after="0" w:line="240" w:lineRule="auto"/>
        <w:ind w:firstLine="1418"/>
        <w:jc w:val="both"/>
        <w:rPr>
          <w:rFonts w:ascii="Times New Roman" w:eastAsia="Batang" w:hAnsi="Times New Roman"/>
          <w:sz w:val="24"/>
          <w:szCs w:val="24"/>
        </w:rPr>
      </w:pPr>
    </w:p>
    <w:p w:rsidR="00027ADC" w:rsidRPr="00D918FA" w:rsidRDefault="0085043D" w:rsidP="00D918FA">
      <w:pPr>
        <w:spacing w:after="0" w:line="240" w:lineRule="auto"/>
        <w:ind w:firstLine="1418"/>
        <w:jc w:val="both"/>
        <w:rPr>
          <w:rFonts w:ascii="Times New Roman" w:eastAsia="Batang" w:hAnsi="Times New Roman"/>
          <w:sz w:val="24"/>
          <w:szCs w:val="24"/>
        </w:rPr>
      </w:pPr>
      <w:proofErr w:type="spellStart"/>
      <w:r w:rsidRPr="00D918FA">
        <w:rPr>
          <w:rFonts w:ascii="Times New Roman" w:eastAsia="Batang" w:hAnsi="Times New Roman"/>
          <w:sz w:val="24"/>
          <w:szCs w:val="24"/>
        </w:rPr>
        <w:t>Figueirópolis</w:t>
      </w:r>
      <w:proofErr w:type="spellEnd"/>
      <w:r w:rsidRPr="00D918FA">
        <w:rPr>
          <w:rFonts w:ascii="Times New Roman" w:eastAsia="Batang" w:hAnsi="Times New Roman"/>
          <w:sz w:val="24"/>
          <w:szCs w:val="24"/>
        </w:rPr>
        <w:t xml:space="preserve"> d’Oeste-MT</w:t>
      </w:r>
      <w:r w:rsidR="00027ADC" w:rsidRPr="00D918FA">
        <w:rPr>
          <w:rFonts w:ascii="Times New Roman" w:eastAsia="Batang" w:hAnsi="Times New Roman"/>
          <w:sz w:val="24"/>
          <w:szCs w:val="24"/>
        </w:rPr>
        <w:t xml:space="preserve">, </w:t>
      </w:r>
      <w:r w:rsidR="009E4B29" w:rsidRPr="00D918FA">
        <w:rPr>
          <w:rFonts w:ascii="Times New Roman" w:eastAsia="Batang" w:hAnsi="Times New Roman"/>
          <w:sz w:val="24"/>
          <w:szCs w:val="24"/>
        </w:rPr>
        <w:t>02 de outubro</w:t>
      </w:r>
      <w:r w:rsidRPr="00D918FA">
        <w:rPr>
          <w:rFonts w:ascii="Times New Roman" w:eastAsia="Batang" w:hAnsi="Times New Roman"/>
          <w:sz w:val="24"/>
          <w:szCs w:val="24"/>
        </w:rPr>
        <w:t xml:space="preserve"> de 202</w:t>
      </w:r>
      <w:r w:rsidR="00793D16" w:rsidRPr="00D918FA">
        <w:rPr>
          <w:rFonts w:ascii="Times New Roman" w:eastAsia="Batang" w:hAnsi="Times New Roman"/>
          <w:sz w:val="24"/>
          <w:szCs w:val="24"/>
        </w:rPr>
        <w:t>5</w:t>
      </w:r>
      <w:r w:rsidRPr="00D918FA">
        <w:rPr>
          <w:rFonts w:ascii="Times New Roman" w:eastAsia="Batang" w:hAnsi="Times New Roman"/>
          <w:sz w:val="24"/>
          <w:szCs w:val="24"/>
        </w:rPr>
        <w:t>.</w:t>
      </w:r>
    </w:p>
    <w:p w:rsidR="00027ADC" w:rsidRPr="00D918FA" w:rsidRDefault="00027ADC" w:rsidP="00D918FA">
      <w:pPr>
        <w:spacing w:after="0" w:line="240" w:lineRule="auto"/>
        <w:jc w:val="both"/>
        <w:rPr>
          <w:rFonts w:ascii="Times New Roman" w:eastAsia="Batang" w:hAnsi="Times New Roman"/>
          <w:b/>
          <w:sz w:val="24"/>
          <w:szCs w:val="24"/>
        </w:rPr>
      </w:pPr>
    </w:p>
    <w:p w:rsidR="00027ADC" w:rsidRPr="00D918FA" w:rsidRDefault="00027ADC" w:rsidP="00D918FA">
      <w:pPr>
        <w:spacing w:after="0" w:line="240" w:lineRule="auto"/>
        <w:jc w:val="both"/>
        <w:rPr>
          <w:rFonts w:ascii="Times New Roman" w:eastAsia="Batang" w:hAnsi="Times New Roman"/>
          <w:b/>
          <w:sz w:val="24"/>
          <w:szCs w:val="24"/>
        </w:rPr>
      </w:pPr>
    </w:p>
    <w:p w:rsidR="00216F0F" w:rsidRDefault="00216F0F" w:rsidP="00D918FA">
      <w:pPr>
        <w:spacing w:after="0" w:line="240" w:lineRule="auto"/>
        <w:jc w:val="both"/>
        <w:rPr>
          <w:rFonts w:ascii="Times New Roman" w:eastAsia="Batang" w:hAnsi="Times New Roman"/>
          <w:b/>
          <w:sz w:val="24"/>
          <w:szCs w:val="24"/>
        </w:rPr>
      </w:pPr>
    </w:p>
    <w:p w:rsidR="00D918FA" w:rsidRPr="00D918FA" w:rsidRDefault="00D918FA" w:rsidP="00D918FA">
      <w:pPr>
        <w:spacing w:after="0" w:line="240" w:lineRule="auto"/>
        <w:jc w:val="both"/>
        <w:rPr>
          <w:rFonts w:ascii="Times New Roman" w:eastAsia="Batang" w:hAnsi="Times New Roman"/>
          <w:b/>
          <w:sz w:val="24"/>
          <w:szCs w:val="24"/>
        </w:rPr>
      </w:pPr>
      <w:bookmarkStart w:id="0" w:name="_GoBack"/>
      <w:bookmarkEnd w:id="0"/>
    </w:p>
    <w:p w:rsidR="00027ADC" w:rsidRPr="00D918FA" w:rsidRDefault="008B2524" w:rsidP="00D918FA">
      <w:pPr>
        <w:spacing w:after="0" w:line="240" w:lineRule="auto"/>
        <w:jc w:val="center"/>
        <w:rPr>
          <w:rFonts w:ascii="Times New Roman" w:eastAsia="Batang" w:hAnsi="Times New Roman"/>
          <w:b/>
          <w:sz w:val="24"/>
          <w:szCs w:val="24"/>
        </w:rPr>
      </w:pPr>
      <w:r w:rsidRPr="00D918FA">
        <w:rPr>
          <w:rFonts w:ascii="Times New Roman" w:eastAsia="Batang" w:hAnsi="Times New Roman"/>
          <w:b/>
          <w:sz w:val="24"/>
          <w:szCs w:val="24"/>
        </w:rPr>
        <w:t>Ademir Felício Garcia</w:t>
      </w:r>
    </w:p>
    <w:p w:rsidR="00027ADC" w:rsidRPr="00D918FA" w:rsidRDefault="00027ADC" w:rsidP="00D918FA">
      <w:pPr>
        <w:spacing w:after="0" w:line="240" w:lineRule="auto"/>
        <w:jc w:val="center"/>
        <w:rPr>
          <w:rFonts w:ascii="Times New Roman" w:eastAsia="Batang" w:hAnsi="Times New Roman"/>
          <w:b/>
          <w:sz w:val="24"/>
          <w:szCs w:val="24"/>
        </w:rPr>
      </w:pPr>
      <w:r w:rsidRPr="00D918FA">
        <w:rPr>
          <w:rFonts w:ascii="Times New Roman" w:eastAsia="Batang" w:hAnsi="Times New Roman"/>
          <w:b/>
          <w:sz w:val="24"/>
          <w:szCs w:val="24"/>
        </w:rPr>
        <w:t>Prefeito Municipal</w:t>
      </w:r>
    </w:p>
    <w:sectPr w:rsidR="00027ADC" w:rsidRPr="00D918FA" w:rsidSect="003165D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674" w:right="1133" w:bottom="1417" w:left="1701" w:header="284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4220" w:rsidRDefault="00FA4220" w:rsidP="00732E4E">
      <w:pPr>
        <w:spacing w:after="0" w:line="240" w:lineRule="auto"/>
      </w:pPr>
      <w:r>
        <w:separator/>
      </w:r>
    </w:p>
  </w:endnote>
  <w:endnote w:type="continuationSeparator" w:id="0">
    <w:p w:rsidR="00FA4220" w:rsidRDefault="00FA4220" w:rsidP="00732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Playbill"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00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Pr="005F085C" w:rsidRDefault="00907FE8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07C3747" wp14:editId="7861746F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97D7ACB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DBCB7C4" wp14:editId="5BE2B457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2A3E196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Pr="005F085C">
      <w:rPr>
        <w:rFonts w:asciiTheme="minorHAnsi" w:hAnsiTheme="minorHAnsi" w:cstheme="minorHAnsi"/>
        <w:b/>
        <w:sz w:val="24"/>
        <w:szCs w:val="24"/>
      </w:rPr>
      <w:t>Rua</w:t>
    </w:r>
    <w:r w:rsidRPr="005F085C">
      <w:rPr>
        <w:rFonts w:asciiTheme="minorHAnsi" w:hAnsiTheme="minorHAnsi" w:cstheme="minorHAnsi"/>
        <w:b/>
        <w:szCs w:val="20"/>
      </w:rPr>
      <w:t xml:space="preserve"> santa Catarina, 146 –CEP 78290-000 – </w:t>
    </w:r>
    <w:proofErr w:type="spellStart"/>
    <w:r w:rsidRPr="005F085C">
      <w:rPr>
        <w:rFonts w:asciiTheme="minorHAnsi" w:hAnsiTheme="minorHAnsi" w:cstheme="minorHAnsi"/>
        <w:b/>
        <w:szCs w:val="20"/>
      </w:rPr>
      <w:t>Figueirópolis</w:t>
    </w:r>
    <w:proofErr w:type="spellEnd"/>
    <w:r w:rsidRPr="005F085C">
      <w:rPr>
        <w:rFonts w:asciiTheme="minorHAnsi" w:hAnsiTheme="minorHAnsi" w:cstheme="minorHAnsi"/>
        <w:b/>
        <w:szCs w:val="20"/>
      </w:rPr>
      <w:t xml:space="preserve"> D’Oeste – MT </w:t>
    </w:r>
  </w:p>
  <w:p w:rsidR="00907FE8" w:rsidRPr="005F085C" w:rsidRDefault="00907FE8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  <w:lang w:val="en-US"/>
      </w:rPr>
    </w:pPr>
    <w:proofErr w:type="spellStart"/>
    <w:r w:rsidRPr="005F085C">
      <w:rPr>
        <w:rFonts w:asciiTheme="minorHAnsi" w:hAnsiTheme="minorHAnsi" w:cstheme="minorHAnsi"/>
        <w:b/>
        <w:szCs w:val="20"/>
        <w:lang w:val="en-US"/>
      </w:rPr>
      <w:t>Telefone</w:t>
    </w:r>
    <w:proofErr w:type="spellEnd"/>
    <w:r w:rsidRPr="005F085C">
      <w:rPr>
        <w:rFonts w:asciiTheme="minorHAnsi" w:hAnsiTheme="minorHAnsi" w:cstheme="minorHAnsi"/>
        <w:b/>
        <w:szCs w:val="20"/>
        <w:lang w:val="en-US"/>
      </w:rPr>
      <w:t xml:space="preserve">: +55 (65) 3235-1595 – Fax +55 (65) 3235-1586 | </w:t>
    </w:r>
    <w:hyperlink r:id="rId1" w:history="1">
      <w:r w:rsidRPr="005F085C">
        <w:rPr>
          <w:rStyle w:val="Hyperlink"/>
          <w:rFonts w:asciiTheme="minorHAnsi" w:hAnsiTheme="minorHAnsi" w:cstheme="minorHAnsi"/>
          <w:b/>
          <w:szCs w:val="20"/>
          <w:lang w:val="en-US"/>
        </w:rPr>
        <w:t>prefigue@figueiropolisdoeste.mt.gov.br</w:t>
      </w:r>
    </w:hyperlink>
    <w:r w:rsidRPr="005F085C">
      <w:rPr>
        <w:rFonts w:asciiTheme="minorHAnsi" w:hAnsiTheme="minorHAnsi" w:cstheme="minorHAnsi"/>
        <w:b/>
        <w:szCs w:val="20"/>
        <w:lang w:val="en-US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4220" w:rsidRDefault="00FA4220" w:rsidP="00732E4E">
      <w:pPr>
        <w:spacing w:after="0" w:line="240" w:lineRule="auto"/>
      </w:pPr>
      <w:r>
        <w:separator/>
      </w:r>
    </w:p>
  </w:footnote>
  <w:footnote w:type="continuationSeparator" w:id="0">
    <w:p w:rsidR="00FA4220" w:rsidRDefault="00FA4220" w:rsidP="00732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484C3368" wp14:editId="2E5CFDAA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:rsidR="00907FE8" w:rsidRDefault="00907FE8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:rsidR="00907FE8" w:rsidRPr="00A107AC" w:rsidRDefault="00907FE8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:rsidR="00907FE8" w:rsidRDefault="00907FE8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:rsidR="00907FE8" w:rsidRPr="00614B7D" w:rsidRDefault="00907FE8" w:rsidP="003165D8">
    <w:pPr>
      <w:pStyle w:val="Cabealho"/>
      <w:spacing w:before="120"/>
      <w:jc w:val="center"/>
      <w:rPr>
        <w:sz w:val="10"/>
        <w:szCs w:val="1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BD1"/>
    <w:rsid w:val="0001389A"/>
    <w:rsid w:val="00027ADC"/>
    <w:rsid w:val="00081203"/>
    <w:rsid w:val="000861A8"/>
    <w:rsid w:val="000866D1"/>
    <w:rsid w:val="00090150"/>
    <w:rsid w:val="000A3D43"/>
    <w:rsid w:val="000B1CC7"/>
    <w:rsid w:val="000B212A"/>
    <w:rsid w:val="000B65E3"/>
    <w:rsid w:val="000C5F9E"/>
    <w:rsid w:val="000F5EA7"/>
    <w:rsid w:val="001021E6"/>
    <w:rsid w:val="001031A8"/>
    <w:rsid w:val="0010428D"/>
    <w:rsid w:val="00161452"/>
    <w:rsid w:val="0016253C"/>
    <w:rsid w:val="0017432B"/>
    <w:rsid w:val="0017476E"/>
    <w:rsid w:val="00180BD3"/>
    <w:rsid w:val="001A24F5"/>
    <w:rsid w:val="001C4C04"/>
    <w:rsid w:val="001D0789"/>
    <w:rsid w:val="001E23EE"/>
    <w:rsid w:val="001E6D8F"/>
    <w:rsid w:val="001F2C79"/>
    <w:rsid w:val="001F4F83"/>
    <w:rsid w:val="001F7A6B"/>
    <w:rsid w:val="00200734"/>
    <w:rsid w:val="002038CF"/>
    <w:rsid w:val="00216F0F"/>
    <w:rsid w:val="002254DD"/>
    <w:rsid w:val="00250446"/>
    <w:rsid w:val="00255420"/>
    <w:rsid w:val="00262579"/>
    <w:rsid w:val="0027034C"/>
    <w:rsid w:val="00283C2A"/>
    <w:rsid w:val="00290535"/>
    <w:rsid w:val="00293B4A"/>
    <w:rsid w:val="002A1480"/>
    <w:rsid w:val="002F2D75"/>
    <w:rsid w:val="002F47E0"/>
    <w:rsid w:val="002F48CC"/>
    <w:rsid w:val="0030318F"/>
    <w:rsid w:val="003109DB"/>
    <w:rsid w:val="00315E89"/>
    <w:rsid w:val="003165D8"/>
    <w:rsid w:val="00327C6F"/>
    <w:rsid w:val="00333964"/>
    <w:rsid w:val="003351FA"/>
    <w:rsid w:val="003501CC"/>
    <w:rsid w:val="00355F69"/>
    <w:rsid w:val="00373F01"/>
    <w:rsid w:val="00376947"/>
    <w:rsid w:val="0038181C"/>
    <w:rsid w:val="00390EF6"/>
    <w:rsid w:val="003A185E"/>
    <w:rsid w:val="003C49F0"/>
    <w:rsid w:val="003D237D"/>
    <w:rsid w:val="003E1305"/>
    <w:rsid w:val="003F12D8"/>
    <w:rsid w:val="004055C2"/>
    <w:rsid w:val="00406D02"/>
    <w:rsid w:val="004345C1"/>
    <w:rsid w:val="004432CF"/>
    <w:rsid w:val="004444DC"/>
    <w:rsid w:val="0044652A"/>
    <w:rsid w:val="00473BC1"/>
    <w:rsid w:val="00495F81"/>
    <w:rsid w:val="004A1395"/>
    <w:rsid w:val="004A6151"/>
    <w:rsid w:val="004B40A0"/>
    <w:rsid w:val="004C2E1C"/>
    <w:rsid w:val="004F3189"/>
    <w:rsid w:val="005032F3"/>
    <w:rsid w:val="00505E5B"/>
    <w:rsid w:val="00506638"/>
    <w:rsid w:val="00506E22"/>
    <w:rsid w:val="00521A41"/>
    <w:rsid w:val="00526099"/>
    <w:rsid w:val="00527001"/>
    <w:rsid w:val="00545C03"/>
    <w:rsid w:val="00553417"/>
    <w:rsid w:val="005657DC"/>
    <w:rsid w:val="0056766E"/>
    <w:rsid w:val="00571F55"/>
    <w:rsid w:val="0059585B"/>
    <w:rsid w:val="005B0544"/>
    <w:rsid w:val="005B1F6F"/>
    <w:rsid w:val="005B39F6"/>
    <w:rsid w:val="005B4A74"/>
    <w:rsid w:val="005C5C44"/>
    <w:rsid w:val="005C676F"/>
    <w:rsid w:val="005C7C13"/>
    <w:rsid w:val="005D3480"/>
    <w:rsid w:val="005F085C"/>
    <w:rsid w:val="005F71ED"/>
    <w:rsid w:val="006005F0"/>
    <w:rsid w:val="006110E1"/>
    <w:rsid w:val="00614B7D"/>
    <w:rsid w:val="0064296C"/>
    <w:rsid w:val="00643929"/>
    <w:rsid w:val="006459C3"/>
    <w:rsid w:val="00646806"/>
    <w:rsid w:val="00653D4B"/>
    <w:rsid w:val="006621A7"/>
    <w:rsid w:val="00665C1E"/>
    <w:rsid w:val="00682CE6"/>
    <w:rsid w:val="00684C93"/>
    <w:rsid w:val="00694E79"/>
    <w:rsid w:val="00696B5A"/>
    <w:rsid w:val="006A1763"/>
    <w:rsid w:val="006A679E"/>
    <w:rsid w:val="006A7CA1"/>
    <w:rsid w:val="006D3AFD"/>
    <w:rsid w:val="006D44DF"/>
    <w:rsid w:val="006E5AFF"/>
    <w:rsid w:val="006E69C5"/>
    <w:rsid w:val="00706C0D"/>
    <w:rsid w:val="00731194"/>
    <w:rsid w:val="00732E4E"/>
    <w:rsid w:val="00734EFE"/>
    <w:rsid w:val="00747C18"/>
    <w:rsid w:val="007505A1"/>
    <w:rsid w:val="0075728F"/>
    <w:rsid w:val="00781BF4"/>
    <w:rsid w:val="00793D16"/>
    <w:rsid w:val="00796B31"/>
    <w:rsid w:val="007A0507"/>
    <w:rsid w:val="007A67C1"/>
    <w:rsid w:val="007C7264"/>
    <w:rsid w:val="007D485F"/>
    <w:rsid w:val="007E0419"/>
    <w:rsid w:val="007E06CC"/>
    <w:rsid w:val="007E31F6"/>
    <w:rsid w:val="007F308D"/>
    <w:rsid w:val="008070B2"/>
    <w:rsid w:val="00807C07"/>
    <w:rsid w:val="008127F5"/>
    <w:rsid w:val="00817B45"/>
    <w:rsid w:val="0082514C"/>
    <w:rsid w:val="00834050"/>
    <w:rsid w:val="0085043D"/>
    <w:rsid w:val="00861798"/>
    <w:rsid w:val="00862514"/>
    <w:rsid w:val="00877E23"/>
    <w:rsid w:val="008B2524"/>
    <w:rsid w:val="008B2EF5"/>
    <w:rsid w:val="008B6C4C"/>
    <w:rsid w:val="008D3F44"/>
    <w:rsid w:val="008F388D"/>
    <w:rsid w:val="008F3CBB"/>
    <w:rsid w:val="00907FE8"/>
    <w:rsid w:val="009212CA"/>
    <w:rsid w:val="0093073C"/>
    <w:rsid w:val="00933501"/>
    <w:rsid w:val="009529DC"/>
    <w:rsid w:val="00963E4D"/>
    <w:rsid w:val="00976297"/>
    <w:rsid w:val="0098008A"/>
    <w:rsid w:val="009B0293"/>
    <w:rsid w:val="009B1698"/>
    <w:rsid w:val="009D4C94"/>
    <w:rsid w:val="009E4B29"/>
    <w:rsid w:val="00A050BE"/>
    <w:rsid w:val="00A144C2"/>
    <w:rsid w:val="00A15703"/>
    <w:rsid w:val="00A34921"/>
    <w:rsid w:val="00A41FFA"/>
    <w:rsid w:val="00A44E94"/>
    <w:rsid w:val="00A546AC"/>
    <w:rsid w:val="00A60A79"/>
    <w:rsid w:val="00A71A2D"/>
    <w:rsid w:val="00A75039"/>
    <w:rsid w:val="00A91A0A"/>
    <w:rsid w:val="00A9275C"/>
    <w:rsid w:val="00AA2ADB"/>
    <w:rsid w:val="00AC01EC"/>
    <w:rsid w:val="00AC14ED"/>
    <w:rsid w:val="00AF7F45"/>
    <w:rsid w:val="00B00C97"/>
    <w:rsid w:val="00B01C29"/>
    <w:rsid w:val="00B07DD2"/>
    <w:rsid w:val="00B10E62"/>
    <w:rsid w:val="00B15F8E"/>
    <w:rsid w:val="00B179B1"/>
    <w:rsid w:val="00B42131"/>
    <w:rsid w:val="00B433B7"/>
    <w:rsid w:val="00B44F77"/>
    <w:rsid w:val="00B76311"/>
    <w:rsid w:val="00B96549"/>
    <w:rsid w:val="00BA1ABA"/>
    <w:rsid w:val="00BC5A5C"/>
    <w:rsid w:val="00BD2A43"/>
    <w:rsid w:val="00BD6F38"/>
    <w:rsid w:val="00BF6D47"/>
    <w:rsid w:val="00C03CDB"/>
    <w:rsid w:val="00C3450C"/>
    <w:rsid w:val="00C473BB"/>
    <w:rsid w:val="00C83DF1"/>
    <w:rsid w:val="00CC23D5"/>
    <w:rsid w:val="00CC4140"/>
    <w:rsid w:val="00CD588A"/>
    <w:rsid w:val="00CE35CB"/>
    <w:rsid w:val="00CF598B"/>
    <w:rsid w:val="00CF5DDF"/>
    <w:rsid w:val="00D17BBC"/>
    <w:rsid w:val="00D5195B"/>
    <w:rsid w:val="00D63E18"/>
    <w:rsid w:val="00D732BF"/>
    <w:rsid w:val="00D73860"/>
    <w:rsid w:val="00D90184"/>
    <w:rsid w:val="00D918FA"/>
    <w:rsid w:val="00D96BD1"/>
    <w:rsid w:val="00DA643E"/>
    <w:rsid w:val="00DC3A23"/>
    <w:rsid w:val="00DD2EF6"/>
    <w:rsid w:val="00DD7A19"/>
    <w:rsid w:val="00DE5730"/>
    <w:rsid w:val="00DE68CE"/>
    <w:rsid w:val="00DE6C14"/>
    <w:rsid w:val="00DE779B"/>
    <w:rsid w:val="00DE7BAF"/>
    <w:rsid w:val="00DF35AB"/>
    <w:rsid w:val="00E003ED"/>
    <w:rsid w:val="00E07D2A"/>
    <w:rsid w:val="00E135B0"/>
    <w:rsid w:val="00E23697"/>
    <w:rsid w:val="00E251AB"/>
    <w:rsid w:val="00E309F6"/>
    <w:rsid w:val="00E343AA"/>
    <w:rsid w:val="00E35881"/>
    <w:rsid w:val="00E3739D"/>
    <w:rsid w:val="00E41079"/>
    <w:rsid w:val="00E5517B"/>
    <w:rsid w:val="00E6260C"/>
    <w:rsid w:val="00E660D3"/>
    <w:rsid w:val="00E770A0"/>
    <w:rsid w:val="00E77A8C"/>
    <w:rsid w:val="00E849DF"/>
    <w:rsid w:val="00E96805"/>
    <w:rsid w:val="00EB25FC"/>
    <w:rsid w:val="00EC57AF"/>
    <w:rsid w:val="00ED7201"/>
    <w:rsid w:val="00EE1E3B"/>
    <w:rsid w:val="00F0418B"/>
    <w:rsid w:val="00F16766"/>
    <w:rsid w:val="00F206AE"/>
    <w:rsid w:val="00F32DD8"/>
    <w:rsid w:val="00F5665B"/>
    <w:rsid w:val="00F606FE"/>
    <w:rsid w:val="00F721E2"/>
    <w:rsid w:val="00F90950"/>
    <w:rsid w:val="00F953A5"/>
    <w:rsid w:val="00FA0233"/>
    <w:rsid w:val="00FA0C20"/>
    <w:rsid w:val="00FA4220"/>
    <w:rsid w:val="00FA54FA"/>
    <w:rsid w:val="00FC21B5"/>
    <w:rsid w:val="00FC4C39"/>
    <w:rsid w:val="00FD17E4"/>
    <w:rsid w:val="00FD1FC0"/>
    <w:rsid w:val="00FE64FB"/>
    <w:rsid w:val="00FF7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5B06740-28CB-46D4-B531-5997E619D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BD1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D918F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qFormat/>
    <w:rsid w:val="00200734"/>
    <w:pPr>
      <w:keepNext/>
      <w:spacing w:after="0" w:line="360" w:lineRule="auto"/>
      <w:jc w:val="center"/>
      <w:outlineLvl w:val="2"/>
    </w:pPr>
    <w:rPr>
      <w:rFonts w:ascii="Arial Black" w:eastAsia="Times New Roman" w:hAnsi="Arial Black" w:cs="Arial"/>
      <w:b/>
      <w:bCs/>
      <w:noProof/>
      <w:sz w:val="36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5D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  <w:style w:type="character" w:styleId="Forte">
    <w:name w:val="Strong"/>
    <w:uiPriority w:val="99"/>
    <w:qFormat/>
    <w:rsid w:val="00D96BD1"/>
    <w:rPr>
      <w:rFonts w:cs="Times New Roman"/>
      <w:b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D96BD1"/>
    <w:pPr>
      <w:spacing w:after="120"/>
    </w:pPr>
    <w:rPr>
      <w:rFonts w:cstheme="minorBidi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96BD1"/>
    <w:rPr>
      <w:rFonts w:cstheme="minorBidi"/>
      <w:sz w:val="22"/>
      <w:szCs w:val="22"/>
      <w:lang w:eastAsia="en-US"/>
    </w:rPr>
  </w:style>
  <w:style w:type="paragraph" w:styleId="SemEspaamento">
    <w:name w:val="No Spacing"/>
    <w:uiPriority w:val="1"/>
    <w:qFormat/>
    <w:rsid w:val="008F3CBB"/>
    <w:rPr>
      <w:sz w:val="22"/>
      <w:szCs w:val="22"/>
      <w:lang w:eastAsia="en-US"/>
    </w:rPr>
  </w:style>
  <w:style w:type="paragraph" w:customStyle="1" w:styleId="Default">
    <w:name w:val="Default"/>
    <w:rsid w:val="00A44E9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D918F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%20JURIDICA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6572B0-3E01-4A27-A2B7-9BBDC54150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159</TotalTime>
  <Pages>15</Pages>
  <Words>4458</Words>
  <Characters>24078</Characters>
  <Application>Microsoft Office Word</Application>
  <DocSecurity>0</DocSecurity>
  <Lines>200</Lines>
  <Paragraphs>56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JURIDICA</dc:creator>
  <cp:lastModifiedBy>Conta da Microsoft</cp:lastModifiedBy>
  <cp:revision>34</cp:revision>
  <cp:lastPrinted>2016-02-22T16:24:00Z</cp:lastPrinted>
  <dcterms:created xsi:type="dcterms:W3CDTF">2017-11-23T13:08:00Z</dcterms:created>
  <dcterms:modified xsi:type="dcterms:W3CDTF">2025-10-02T11:52:00Z</dcterms:modified>
</cp:coreProperties>
</file>