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27229EED">
      <w:pPr>
        <w:spacing w:before="120" w:line="276" w:lineRule="auto"/>
        <w:jc w:val="center"/>
        <w:rPr>
          <w:rFonts w:ascii="Palatino Linotype" w:hAnsi="Palatino Linotype"/>
          <w:b/>
          <w:bCs/>
          <w:sz w:val="24"/>
          <w:szCs w:val="24"/>
        </w:rPr>
      </w:pPr>
      <w:bookmarkStart w:id="0" w:name="_GoBack"/>
      <w:r>
        <w:rPr>
          <w:rFonts w:ascii="Palatino Linotype" w:hAnsi="Palatino Linotype"/>
          <w:b/>
          <w:bCs/>
          <w:sz w:val="24"/>
          <w:szCs w:val="24"/>
        </w:rPr>
        <w:t>RESOLUÇÃO Nº 5</w:t>
      </w:r>
      <w:r>
        <w:rPr>
          <w:rFonts w:hint="default" w:ascii="Palatino Linotype" w:hAnsi="Palatino Linotype"/>
          <w:b/>
          <w:bCs/>
          <w:sz w:val="24"/>
          <w:szCs w:val="24"/>
          <w:lang w:val="pt-BR"/>
        </w:rPr>
        <w:t>8</w:t>
      </w:r>
      <w:r>
        <w:rPr>
          <w:rFonts w:ascii="Palatino Linotype" w:hAnsi="Palatino Linotype"/>
          <w:b/>
          <w:bCs/>
          <w:sz w:val="24"/>
          <w:szCs w:val="24"/>
        </w:rPr>
        <w:t xml:space="preserve">/2025 DE </w:t>
      </w:r>
      <w:r>
        <w:rPr>
          <w:rFonts w:hint="default" w:ascii="Palatino Linotype" w:hAnsi="Palatino Linotype"/>
          <w:b/>
          <w:bCs/>
          <w:sz w:val="24"/>
          <w:szCs w:val="24"/>
        </w:rPr>
        <w:t>28 DE ABRIL DE 2024</w:t>
      </w:r>
      <w:r>
        <w:rPr>
          <w:rFonts w:ascii="Palatino Linotype" w:hAnsi="Palatino Linotype"/>
          <w:b/>
          <w:bCs/>
          <w:sz w:val="24"/>
          <w:szCs w:val="24"/>
        </w:rPr>
        <w:t>.</w:t>
      </w:r>
      <w:r>
        <w:rPr>
          <w:rFonts w:ascii="Palatino Linotype" w:hAnsi="Palatino Linotype"/>
          <w:b/>
          <w:bCs/>
          <w:color w:val="002060"/>
          <w:sz w:val="52"/>
          <w:szCs w:val="52"/>
        </w:rPr>
        <w:t xml:space="preserve"> </w:t>
      </w:r>
    </w:p>
    <w:bookmarkEnd w:id="0"/>
    <w:p w14:paraId="7637A4EA">
      <w:pPr>
        <w:spacing w:before="120" w:line="276" w:lineRule="auto"/>
        <w:jc w:val="center"/>
        <w:rPr>
          <w:rFonts w:ascii="Palatino Linotype" w:hAnsi="Palatino Linotype"/>
          <w:b/>
          <w:bCs/>
        </w:rPr>
      </w:pPr>
    </w:p>
    <w:p w14:paraId="4FBE9566">
      <w:pPr>
        <w:spacing w:before="120" w:line="276" w:lineRule="auto"/>
        <w:ind w:left="3261"/>
        <w:jc w:val="both"/>
        <w:rPr>
          <w:rFonts w:ascii="Palatino Linotype" w:hAnsi="Palatino Linotype"/>
          <w:b/>
          <w:bCs/>
          <w:color w:val="444444"/>
          <w:sz w:val="24"/>
          <w:szCs w:val="24"/>
          <w:shd w:val="clear" w:color="auto" w:fill="FFFFFF"/>
        </w:rPr>
      </w:pPr>
      <w:r>
        <w:rPr>
          <w:rFonts w:ascii="Palatino Linotype" w:hAnsi="Palatino Linotype"/>
          <w:b/>
          <w:bCs/>
          <w:color w:val="444444"/>
          <w:sz w:val="24"/>
          <w:szCs w:val="24"/>
          <w:shd w:val="clear" w:color="auto" w:fill="FFFFFF"/>
        </w:rPr>
        <w:t>Regulamenta o uso do Sistema Legislativo de Gestão de Documentos Digitais SILGED como meio para armazenamento e tramitação de documentos e processos no âmbito do Poder Legislativo Municipal.</w:t>
      </w:r>
    </w:p>
    <w:p w14:paraId="606E0F86">
      <w:pPr>
        <w:spacing w:before="120" w:line="276" w:lineRule="auto"/>
        <w:jc w:val="center"/>
        <w:rPr>
          <w:rFonts w:ascii="Palatino Linotype" w:hAnsi="Palatino Linotype"/>
          <w:b/>
          <w:bCs/>
        </w:rPr>
      </w:pPr>
    </w:p>
    <w:p w14:paraId="3EFA5CB4">
      <w:pPr>
        <w:spacing w:before="120" w:line="276" w:lineRule="auto"/>
        <w:ind w:firstLine="1418"/>
        <w:jc w:val="both"/>
        <w:rPr>
          <w:rFonts w:ascii="Palatino Linotype" w:hAnsi="Palatino Linotype"/>
          <w:sz w:val="24"/>
          <w:szCs w:val="24"/>
        </w:rPr>
      </w:pPr>
      <w:r>
        <w:rPr>
          <w:rFonts w:ascii="Palatino Linotype" w:hAnsi="Palatino Linotype" w:cs="Courier"/>
          <w:b/>
          <w:bCs/>
          <w:sz w:val="24"/>
          <w:szCs w:val="24"/>
        </w:rPr>
        <w:t>ANÍSIO APARECIDO PERES</w:t>
      </w:r>
      <w:r>
        <w:rPr>
          <w:rFonts w:ascii="Palatino Linotype" w:hAnsi="Palatino Linotype"/>
          <w:b/>
          <w:bCs/>
          <w:sz w:val="24"/>
          <w:szCs w:val="24"/>
        </w:rPr>
        <w:t>,</w:t>
      </w:r>
      <w:r>
        <w:rPr>
          <w:rFonts w:ascii="Palatino Linotype" w:hAnsi="Palatino Linotype"/>
          <w:sz w:val="24"/>
          <w:szCs w:val="24"/>
        </w:rPr>
        <w:t xml:space="preserve"> </w:t>
      </w:r>
      <w:r>
        <w:rPr>
          <w:rFonts w:ascii="Palatino Linotype" w:hAnsi="Palatino Linotype"/>
          <w:b/>
          <w:bCs/>
          <w:sz w:val="24"/>
          <w:szCs w:val="24"/>
        </w:rPr>
        <w:t xml:space="preserve">Presidente da Câmara Municipal de </w:t>
      </w:r>
      <w:r>
        <w:rPr>
          <w:rFonts w:ascii="Palatino Linotype" w:hAnsi="Palatino Linotype" w:cs="Times New Roman"/>
          <w:b/>
          <w:bCs/>
          <w:color w:val="000000"/>
          <w:sz w:val="24"/>
          <w:szCs w:val="24"/>
        </w:rPr>
        <w:t>Figueirópolis D’Oeste</w:t>
      </w:r>
      <w:r>
        <w:rPr>
          <w:rFonts w:ascii="Palatino Linotype" w:hAnsi="Palatino Linotype"/>
          <w:sz w:val="24"/>
          <w:szCs w:val="24"/>
        </w:rPr>
        <w:t xml:space="preserve">, </w:t>
      </w:r>
      <w:r>
        <w:rPr>
          <w:rFonts w:ascii="Palatino Linotype" w:hAnsi="Palatino Linotype"/>
          <w:b/>
          <w:bCs/>
          <w:sz w:val="24"/>
          <w:szCs w:val="24"/>
        </w:rPr>
        <w:t>Estado de Mato Grosso</w:t>
      </w:r>
      <w:r>
        <w:rPr>
          <w:rFonts w:ascii="Palatino Linotype" w:hAnsi="Palatino Linotype"/>
          <w:sz w:val="24"/>
          <w:szCs w:val="24"/>
        </w:rPr>
        <w:t xml:space="preserve">, no uso de suas atribuições previstas § 8º do art. 11 da Lei Orgânica Municipal e, ainda, tendo em vista a Lei Nº 14.063, de 23 de setembro de 2020, Lei Nº 14.129, de 29 de março de 2021 art.12 Inc. VI da Lei 14.133, de 1º de abril de 2021 a Resolução nº 53/2024 de 27 de maio de 2024, </w:t>
      </w:r>
      <w:r>
        <w:rPr>
          <w:rFonts w:ascii="Palatino Linotype" w:hAnsi="Palatino Linotype"/>
          <w:i/>
          <w:iCs/>
          <w:sz w:val="24"/>
          <w:szCs w:val="24"/>
        </w:rPr>
        <w:t>Et.al</w:t>
      </w:r>
      <w:r>
        <w:rPr>
          <w:rFonts w:ascii="Palatino Linotype" w:hAnsi="Palatino Linotype" w:cs="Open Sans"/>
          <w:sz w:val="24"/>
          <w:szCs w:val="24"/>
          <w:shd w:val="clear" w:color="auto" w:fill="FFFFFF"/>
        </w:rPr>
        <w:t>.</w:t>
      </w:r>
    </w:p>
    <w:p w14:paraId="1C577F76">
      <w:pPr>
        <w:jc w:val="center"/>
        <w:rPr>
          <w:rFonts w:ascii="Palatino Linotype" w:hAnsi="Palatino Linotype"/>
          <w:b/>
          <w:bCs/>
          <w:sz w:val="24"/>
          <w:szCs w:val="24"/>
        </w:rPr>
      </w:pPr>
      <w:r>
        <w:br w:type="textWrapping"/>
      </w:r>
      <w:r>
        <w:br w:type="textWrapping"/>
      </w:r>
      <w:r>
        <w:rPr>
          <w:rFonts w:ascii="Palatino Linotype" w:hAnsi="Palatino Linotype"/>
          <w:b/>
          <w:bCs/>
          <w:sz w:val="24"/>
          <w:szCs w:val="24"/>
        </w:rPr>
        <w:t>CAPÍTULO I</w:t>
      </w:r>
    </w:p>
    <w:p w14:paraId="6DE0ED32">
      <w:pPr>
        <w:jc w:val="center"/>
        <w:rPr>
          <w:rFonts w:ascii="Palatino Linotype" w:hAnsi="Palatino Linotype"/>
          <w:b/>
          <w:bCs/>
          <w:sz w:val="24"/>
          <w:szCs w:val="24"/>
        </w:rPr>
      </w:pPr>
      <w:r>
        <w:rPr>
          <w:rFonts w:ascii="Palatino Linotype" w:hAnsi="Palatino Linotype"/>
          <w:b/>
          <w:bCs/>
          <w:sz w:val="24"/>
          <w:szCs w:val="24"/>
        </w:rPr>
        <w:t>DISPOSIÇÕES GERAIS</w:t>
      </w:r>
    </w:p>
    <w:p w14:paraId="08332E72">
      <w:pPr>
        <w:jc w:val="both"/>
        <w:rPr>
          <w:rFonts w:ascii="Palatino Linotype" w:hAnsi="Palatino Linotype"/>
          <w:sz w:val="24"/>
          <w:szCs w:val="24"/>
        </w:rPr>
      </w:pPr>
      <w:r>
        <w:rPr>
          <w:rFonts w:ascii="Palatino Linotype" w:hAnsi="Palatino Linotype"/>
          <w:b/>
          <w:bCs/>
          <w:sz w:val="24"/>
          <w:szCs w:val="24"/>
        </w:rPr>
        <w:t>Art. 1°</w:t>
      </w:r>
      <w:r>
        <w:rPr>
          <w:rFonts w:ascii="Palatino Linotype" w:hAnsi="Palatino Linotype"/>
          <w:sz w:val="24"/>
          <w:szCs w:val="24"/>
        </w:rPr>
        <w:t xml:space="preserve"> Fica instituído o Sistema Legislativo de Gestão de Documentos Digitais -SILGED como meio exclusivo para registro, tramitação e consulta de documentos do Poder Legislativo Municipal.</w:t>
      </w:r>
    </w:p>
    <w:p w14:paraId="325D8D29">
      <w:pPr>
        <w:jc w:val="both"/>
        <w:rPr>
          <w:rFonts w:ascii="Palatino Linotype" w:hAnsi="Palatino Linotype"/>
          <w:sz w:val="24"/>
          <w:szCs w:val="24"/>
        </w:rPr>
      </w:pPr>
    </w:p>
    <w:p w14:paraId="2E4EEE4B">
      <w:pPr>
        <w:jc w:val="both"/>
        <w:rPr>
          <w:rFonts w:ascii="Palatino Linotype" w:hAnsi="Palatino Linotype"/>
          <w:sz w:val="24"/>
          <w:szCs w:val="24"/>
        </w:rPr>
      </w:pPr>
      <w:r>
        <w:rPr>
          <w:rFonts w:ascii="Palatino Linotype" w:hAnsi="Palatino Linotype"/>
          <w:b/>
          <w:bCs/>
          <w:sz w:val="24"/>
          <w:szCs w:val="24"/>
        </w:rPr>
        <w:t>Art. 2°</w:t>
      </w:r>
      <w:r>
        <w:rPr>
          <w:rFonts w:ascii="Palatino Linotype" w:hAnsi="Palatino Linotype"/>
          <w:sz w:val="24"/>
          <w:szCs w:val="24"/>
        </w:rPr>
        <w:t xml:space="preserve"> Os atos processuais praticados no ambiente digital de gestão documental observarão os prazos definidos em lei para manifestação dos interessados e para decisão da autoridade competente, sendo considerados realizados na data e horário identificados no recibo eletrônico de protocolo emitido pelo sistema.</w:t>
      </w:r>
    </w:p>
    <w:p w14:paraId="25DA8F1D">
      <w:pPr>
        <w:jc w:val="both"/>
        <w:rPr>
          <w:rFonts w:ascii="Palatino Linotype" w:hAnsi="Palatino Linotype"/>
          <w:sz w:val="24"/>
          <w:szCs w:val="24"/>
        </w:rPr>
      </w:pPr>
    </w:p>
    <w:p w14:paraId="5838C16C">
      <w:pPr>
        <w:jc w:val="both"/>
        <w:rPr>
          <w:rFonts w:ascii="Palatino Linotype" w:hAnsi="Palatino Linotype"/>
          <w:sz w:val="24"/>
          <w:szCs w:val="24"/>
        </w:rPr>
      </w:pPr>
      <w:r>
        <w:rPr>
          <w:rFonts w:ascii="Palatino Linotype" w:hAnsi="Palatino Linotype"/>
          <w:sz w:val="24"/>
          <w:szCs w:val="24"/>
        </w:rPr>
        <w:t>§ 1º Salvo disposição legal ou regulamentar em contrário, o ato a ser praticado em prazo determinado será considerado tempestivo se realizado até as vinte e três horas e cinquenta e nove minutos do último dia do prazo, no horário oficial de Mato Grosso.</w:t>
      </w:r>
    </w:p>
    <w:p w14:paraId="2402479D">
      <w:pPr>
        <w:jc w:val="both"/>
        <w:rPr>
          <w:rFonts w:ascii="Palatino Linotype" w:hAnsi="Palatino Linotype"/>
          <w:sz w:val="24"/>
          <w:szCs w:val="24"/>
        </w:rPr>
      </w:pPr>
    </w:p>
    <w:p w14:paraId="581E191D">
      <w:pPr>
        <w:jc w:val="both"/>
        <w:rPr>
          <w:rFonts w:ascii="Palatino Linotype" w:hAnsi="Palatino Linotype"/>
          <w:sz w:val="24"/>
          <w:szCs w:val="24"/>
        </w:rPr>
      </w:pPr>
      <w:r>
        <w:rPr>
          <w:rFonts w:ascii="Palatino Linotype" w:hAnsi="Palatino Linotype"/>
          <w:sz w:val="24"/>
          <w:szCs w:val="24"/>
        </w:rPr>
        <w:t>§ 2º Na hipótese prevista no parágrafo 1º do caput deste artigo, caso o sistema se torne indisponível por motivo técnico, o prazo será automaticamente prorrogado até as vinte e três horas e cinquenta e nove minutos do primeiro dia útil seguinte ao do retorno da disponibilidade.</w:t>
      </w:r>
    </w:p>
    <w:p w14:paraId="2317C465">
      <w:pPr>
        <w:jc w:val="both"/>
        <w:rPr>
          <w:rFonts w:ascii="Palatino Linotype" w:hAnsi="Palatino Linotype"/>
          <w:sz w:val="24"/>
          <w:szCs w:val="24"/>
        </w:rPr>
      </w:pPr>
      <w:r>
        <w:rPr>
          <w:rFonts w:ascii="Palatino Linotype" w:hAnsi="Palatino Linotype"/>
          <w:sz w:val="24"/>
          <w:szCs w:val="24"/>
        </w:rPr>
        <w:t>§ 3º Usuários não cadastrados no Sistema Legislativo de Gestão de Documentos Digitais terão acesso, na forma da lei, a documentos e processos eletrônicos por meio de arquivo em formato digital, disponibilizado pelo Poder Legislativo.</w:t>
      </w:r>
    </w:p>
    <w:p w14:paraId="044185C7">
      <w:pPr>
        <w:jc w:val="both"/>
        <w:rPr>
          <w:rFonts w:ascii="Palatino Linotype" w:hAnsi="Palatino Linotype"/>
          <w:sz w:val="24"/>
          <w:szCs w:val="24"/>
        </w:rPr>
      </w:pPr>
      <w:r>
        <w:rPr>
          <w:rFonts w:ascii="Palatino Linotype" w:hAnsi="Palatino Linotype"/>
          <w:b/>
          <w:bCs/>
          <w:sz w:val="24"/>
          <w:szCs w:val="24"/>
        </w:rPr>
        <w:t>Art. 3°</w:t>
      </w:r>
      <w:r>
        <w:rPr>
          <w:rFonts w:ascii="Palatino Linotype" w:hAnsi="Palatino Linotype"/>
          <w:sz w:val="24"/>
          <w:szCs w:val="24"/>
        </w:rPr>
        <w:t xml:space="preserve"> A classificação da informação sigilosa e a proteção de dados pessoais no ambiente digital de gestão documental observarão as disposições da Lei Federal nº 12.527, de 18 de novembro de 2011, da resolução Nº. 29/2013 de 29 de outubro de 2013, Lei Geral de Proteção de Dados Pessoais nº 13.709, de 14 de agosto de 2018 e as demais normas aplicáveis.</w:t>
      </w:r>
    </w:p>
    <w:p w14:paraId="464DAFCA">
      <w:pPr>
        <w:jc w:val="both"/>
        <w:rPr>
          <w:rFonts w:ascii="Palatino Linotype" w:hAnsi="Palatino Linotype"/>
          <w:sz w:val="24"/>
          <w:szCs w:val="24"/>
        </w:rPr>
      </w:pPr>
    </w:p>
    <w:p w14:paraId="09542E64">
      <w:pPr>
        <w:jc w:val="both"/>
        <w:rPr>
          <w:rFonts w:ascii="Palatino Linotype" w:hAnsi="Palatino Linotype"/>
          <w:sz w:val="24"/>
          <w:szCs w:val="24"/>
        </w:rPr>
      </w:pPr>
      <w:r>
        <w:rPr>
          <w:rFonts w:ascii="Palatino Linotype" w:hAnsi="Palatino Linotype"/>
          <w:b/>
          <w:bCs/>
          <w:sz w:val="24"/>
          <w:szCs w:val="24"/>
        </w:rPr>
        <w:t>Art. 4°</w:t>
      </w:r>
      <w:r>
        <w:rPr>
          <w:rFonts w:ascii="Palatino Linotype" w:hAnsi="Palatino Linotype"/>
          <w:sz w:val="24"/>
          <w:szCs w:val="24"/>
        </w:rPr>
        <w:t xml:space="preserve"> A autoria, a autenticidade e a integridade de documentos digitais e da assinatura poderão ser asseguradas mediante utilização eletrônica que poderá ser:</w:t>
      </w:r>
    </w:p>
    <w:p w14:paraId="2BA2765B">
      <w:pPr>
        <w:jc w:val="both"/>
        <w:rPr>
          <w:rFonts w:ascii="Palatino Linotype" w:hAnsi="Palatino Linotype"/>
          <w:sz w:val="24"/>
          <w:szCs w:val="24"/>
        </w:rPr>
      </w:pPr>
    </w:p>
    <w:p w14:paraId="3BEDF9BF">
      <w:pPr>
        <w:jc w:val="both"/>
        <w:rPr>
          <w:rFonts w:ascii="Palatino Linotype" w:hAnsi="Palatino Linotype"/>
          <w:sz w:val="24"/>
          <w:szCs w:val="24"/>
        </w:rPr>
      </w:pPr>
      <w:r>
        <w:rPr>
          <w:rFonts w:ascii="Palatino Linotype" w:hAnsi="Palatino Linotype"/>
          <w:sz w:val="24"/>
          <w:szCs w:val="24"/>
        </w:rPr>
        <w:t>I - assinatura digital por meio de certificação digital emitida conforme padrões definidos pela Infraestrutura de Chaves Públicas do Brasil;</w:t>
      </w:r>
    </w:p>
    <w:p w14:paraId="1E0F6F14">
      <w:pPr>
        <w:jc w:val="both"/>
        <w:rPr>
          <w:rFonts w:ascii="Palatino Linotype" w:hAnsi="Palatino Linotype"/>
          <w:sz w:val="24"/>
          <w:szCs w:val="24"/>
        </w:rPr>
      </w:pPr>
    </w:p>
    <w:p w14:paraId="236EE964">
      <w:pPr>
        <w:jc w:val="both"/>
        <w:rPr>
          <w:rFonts w:ascii="Palatino Linotype" w:hAnsi="Palatino Linotype"/>
          <w:sz w:val="24"/>
          <w:szCs w:val="24"/>
        </w:rPr>
      </w:pPr>
      <w:r>
        <w:rPr>
          <w:rFonts w:ascii="Palatino Linotype" w:hAnsi="Palatino Linotype"/>
          <w:sz w:val="24"/>
          <w:szCs w:val="24"/>
        </w:rPr>
        <w:t>II - assinatura cadastrada, baseada em credenciamento prévio de usuário, com fornecimento de nome de usuário e senha ou identificação biométrica.</w:t>
      </w:r>
    </w:p>
    <w:p w14:paraId="4BA21C12">
      <w:pPr>
        <w:jc w:val="both"/>
        <w:rPr>
          <w:rFonts w:ascii="Palatino Linotype" w:hAnsi="Palatino Linotype"/>
          <w:sz w:val="24"/>
          <w:szCs w:val="24"/>
        </w:rPr>
      </w:pPr>
    </w:p>
    <w:p w14:paraId="10F1EF54">
      <w:pPr>
        <w:jc w:val="both"/>
        <w:rPr>
          <w:rFonts w:ascii="Palatino Linotype" w:hAnsi="Palatino Linotype"/>
          <w:sz w:val="24"/>
          <w:szCs w:val="24"/>
        </w:rPr>
      </w:pPr>
      <w:r>
        <w:rPr>
          <w:rFonts w:ascii="Palatino Linotype" w:hAnsi="Palatino Linotype"/>
          <w:sz w:val="24"/>
          <w:szCs w:val="24"/>
        </w:rPr>
        <w:t>§ 1º A assinatura eletrônica é de uso pessoal e intransferível, sendo de responsabilidade do titular o sigilo de senhas e a guarda dos respectivos dispositivos físicos de acesso para utilização do sistema.</w:t>
      </w:r>
    </w:p>
    <w:p w14:paraId="34773070">
      <w:pPr>
        <w:jc w:val="both"/>
        <w:rPr>
          <w:rFonts w:ascii="Palatino Linotype" w:hAnsi="Palatino Linotype"/>
          <w:sz w:val="24"/>
          <w:szCs w:val="24"/>
        </w:rPr>
      </w:pPr>
    </w:p>
    <w:p w14:paraId="492A90CA">
      <w:pPr>
        <w:jc w:val="both"/>
        <w:rPr>
          <w:rFonts w:ascii="Palatino Linotype" w:hAnsi="Palatino Linotype"/>
          <w:sz w:val="24"/>
          <w:szCs w:val="24"/>
        </w:rPr>
      </w:pPr>
      <w:r>
        <w:rPr>
          <w:rFonts w:ascii="Palatino Linotype" w:hAnsi="Palatino Linotype"/>
          <w:sz w:val="24"/>
          <w:szCs w:val="24"/>
        </w:rPr>
        <w:t>§ 2º O disposto no “caput” deste artigo não obsta a utilização de outro meio lícito de comprovação da autoria, autenticidade e integridade de documentos digitais, em especial aqueles que utilizem identificação por meio de usuário e senha.</w:t>
      </w:r>
    </w:p>
    <w:p w14:paraId="791C4647">
      <w:pPr>
        <w:jc w:val="both"/>
        <w:rPr>
          <w:rFonts w:ascii="Palatino Linotype" w:hAnsi="Palatino Linotype"/>
          <w:sz w:val="24"/>
          <w:szCs w:val="24"/>
        </w:rPr>
      </w:pPr>
    </w:p>
    <w:p w14:paraId="7847DAC0">
      <w:pPr>
        <w:jc w:val="both"/>
        <w:rPr>
          <w:rFonts w:ascii="Palatino Linotype" w:hAnsi="Palatino Linotype"/>
          <w:sz w:val="24"/>
          <w:szCs w:val="24"/>
        </w:rPr>
      </w:pPr>
      <w:r>
        <w:rPr>
          <w:rFonts w:ascii="Palatino Linotype" w:hAnsi="Palatino Linotype"/>
          <w:sz w:val="24"/>
          <w:szCs w:val="24"/>
        </w:rPr>
        <w:t>§ 3º Os documentos nato-digitais assinados eletronicamente na forma deste artigo serão considerados originais nos termos da lei aplicável.</w:t>
      </w:r>
    </w:p>
    <w:p w14:paraId="3FE32006">
      <w:pPr>
        <w:jc w:val="both"/>
        <w:rPr>
          <w:rFonts w:ascii="Palatino Linotype" w:hAnsi="Palatino Linotype"/>
          <w:sz w:val="24"/>
          <w:szCs w:val="24"/>
        </w:rPr>
      </w:pPr>
    </w:p>
    <w:p w14:paraId="0BB57252">
      <w:pPr>
        <w:jc w:val="both"/>
        <w:rPr>
          <w:rFonts w:ascii="Palatino Linotype" w:hAnsi="Palatino Linotype"/>
          <w:sz w:val="24"/>
          <w:szCs w:val="24"/>
        </w:rPr>
      </w:pPr>
      <w:r>
        <w:rPr>
          <w:rFonts w:ascii="Palatino Linotype" w:hAnsi="Palatino Linotype"/>
          <w:b/>
          <w:bCs/>
          <w:sz w:val="24"/>
          <w:szCs w:val="24"/>
        </w:rPr>
        <w:t>Art. 5°</w:t>
      </w:r>
      <w:r>
        <w:rPr>
          <w:rFonts w:ascii="Palatino Linotype" w:hAnsi="Palatino Linotype"/>
          <w:sz w:val="24"/>
          <w:szCs w:val="24"/>
        </w:rPr>
        <w:t xml:space="preserve"> O procedimento de digitalização deverá preservar a integridade, a autenticidade, a legibilidade e, se for o caso, o sigilo do documento digitalizado, de acordo com o </w:t>
      </w:r>
      <w:r>
        <w:rPr>
          <w:rFonts w:ascii="Palatino Linotype" w:hAnsi="Palatino Linotype"/>
          <w:sz w:val="24"/>
          <w:szCs w:val="24"/>
          <w:highlight w:val="none"/>
        </w:rPr>
        <w:t>ordenamento jurídico.</w:t>
      </w:r>
    </w:p>
    <w:p w14:paraId="33AD47D3">
      <w:pPr>
        <w:jc w:val="both"/>
        <w:rPr>
          <w:rFonts w:ascii="Palatino Linotype" w:hAnsi="Palatino Linotype"/>
          <w:sz w:val="24"/>
          <w:szCs w:val="24"/>
        </w:rPr>
      </w:pPr>
    </w:p>
    <w:p w14:paraId="1FD6355A">
      <w:pPr>
        <w:jc w:val="both"/>
        <w:rPr>
          <w:rFonts w:ascii="Palatino Linotype" w:hAnsi="Palatino Linotype"/>
          <w:sz w:val="24"/>
          <w:szCs w:val="24"/>
        </w:rPr>
      </w:pPr>
      <w:r>
        <w:rPr>
          <w:rFonts w:ascii="Palatino Linotype" w:hAnsi="Palatino Linotype"/>
          <w:b/>
          <w:bCs/>
          <w:sz w:val="24"/>
          <w:szCs w:val="24"/>
        </w:rPr>
        <w:t>Art. 6°</w:t>
      </w:r>
      <w:r>
        <w:rPr>
          <w:rFonts w:ascii="Palatino Linotype" w:hAnsi="Palatino Linotype"/>
          <w:sz w:val="24"/>
          <w:szCs w:val="24"/>
        </w:rPr>
        <w:t xml:space="preserve"> Nos casos de indisponibilidade do ambiente digital de gestão documental, os atos poderão ser praticados em meio físico, procedendo-se à oportuna digitalização.</w:t>
      </w:r>
    </w:p>
    <w:p w14:paraId="52AA7426">
      <w:pPr>
        <w:jc w:val="both"/>
        <w:rPr>
          <w:rFonts w:ascii="Palatino Linotype" w:hAnsi="Palatino Linotype"/>
          <w:sz w:val="24"/>
          <w:szCs w:val="24"/>
        </w:rPr>
      </w:pPr>
    </w:p>
    <w:p w14:paraId="54576957">
      <w:pPr>
        <w:jc w:val="both"/>
        <w:rPr>
          <w:rFonts w:ascii="Palatino Linotype" w:hAnsi="Palatino Linotype"/>
          <w:sz w:val="24"/>
          <w:szCs w:val="24"/>
        </w:rPr>
      </w:pPr>
      <w:r>
        <w:rPr>
          <w:rFonts w:ascii="Palatino Linotype" w:hAnsi="Palatino Linotype"/>
          <w:sz w:val="24"/>
          <w:szCs w:val="24"/>
        </w:rPr>
        <w:t>Parágrafo único. Os documentos não digitais produzidos na forma prevista no caput deste artigo, mesmo após sua digitalização, deverão cumprir os prazos de guarda previstos na lei federal, conforme disposto nos arts. 9º e 10º da Lei 8.159, de 8 de janeiro de 1991.</w:t>
      </w:r>
    </w:p>
    <w:p w14:paraId="515AC8D3">
      <w:pPr>
        <w:jc w:val="center"/>
        <w:rPr>
          <w:rFonts w:ascii="Palatino Linotype" w:hAnsi="Palatino Linotype"/>
          <w:b/>
          <w:bCs/>
          <w:sz w:val="24"/>
          <w:szCs w:val="24"/>
        </w:rPr>
      </w:pPr>
      <w:r>
        <w:rPr>
          <w:rFonts w:ascii="Palatino Linotype" w:hAnsi="Palatino Linotype"/>
          <w:b/>
          <w:bCs/>
          <w:sz w:val="24"/>
          <w:szCs w:val="24"/>
        </w:rPr>
        <w:t>CAPÍTULO II</w:t>
      </w:r>
    </w:p>
    <w:p w14:paraId="629A5D87">
      <w:pPr>
        <w:jc w:val="center"/>
        <w:rPr>
          <w:rFonts w:ascii="Palatino Linotype" w:hAnsi="Palatino Linotype"/>
          <w:b/>
          <w:bCs/>
          <w:sz w:val="24"/>
          <w:szCs w:val="24"/>
        </w:rPr>
      </w:pPr>
      <w:r>
        <w:rPr>
          <w:rFonts w:ascii="Palatino Linotype" w:hAnsi="Palatino Linotype"/>
          <w:b/>
          <w:bCs/>
          <w:sz w:val="24"/>
          <w:szCs w:val="24"/>
        </w:rPr>
        <w:t>CRIAÇÃO E TRAMITAÇÃO</w:t>
      </w:r>
    </w:p>
    <w:p w14:paraId="69049C63">
      <w:pPr>
        <w:jc w:val="both"/>
        <w:rPr>
          <w:rFonts w:ascii="Palatino Linotype" w:hAnsi="Palatino Linotype"/>
          <w:sz w:val="24"/>
          <w:szCs w:val="24"/>
        </w:rPr>
      </w:pPr>
      <w:r>
        <w:rPr>
          <w:rFonts w:ascii="Palatino Linotype" w:hAnsi="Palatino Linotype"/>
          <w:b/>
          <w:bCs/>
          <w:sz w:val="24"/>
          <w:szCs w:val="24"/>
        </w:rPr>
        <w:t>Art. 7°</w:t>
      </w:r>
      <w:r>
        <w:rPr>
          <w:rFonts w:ascii="Palatino Linotype" w:hAnsi="Palatino Linotype"/>
          <w:sz w:val="24"/>
          <w:szCs w:val="24"/>
        </w:rPr>
        <w:t xml:space="preserve"> O documento digital e o documento digitalizado a partir de documento original, capturados pelo SILGED, serão considerados válidos e produzirão todos os efeitos legais.</w:t>
      </w:r>
    </w:p>
    <w:p w14:paraId="2237844C">
      <w:pPr>
        <w:jc w:val="both"/>
        <w:rPr>
          <w:rFonts w:ascii="Palatino Linotype" w:hAnsi="Palatino Linotype"/>
          <w:sz w:val="24"/>
          <w:szCs w:val="24"/>
        </w:rPr>
      </w:pPr>
    </w:p>
    <w:p w14:paraId="29F00BDA">
      <w:pPr>
        <w:jc w:val="both"/>
        <w:rPr>
          <w:rFonts w:ascii="Palatino Linotype" w:hAnsi="Palatino Linotype"/>
          <w:sz w:val="24"/>
          <w:szCs w:val="24"/>
        </w:rPr>
      </w:pPr>
      <w:r>
        <w:rPr>
          <w:rFonts w:ascii="Palatino Linotype" w:hAnsi="Palatino Linotype"/>
          <w:b/>
          <w:bCs/>
          <w:sz w:val="24"/>
          <w:szCs w:val="24"/>
        </w:rPr>
        <w:t>Art. 8°</w:t>
      </w:r>
      <w:r>
        <w:rPr>
          <w:rFonts w:ascii="Palatino Linotype" w:hAnsi="Palatino Linotype"/>
          <w:sz w:val="24"/>
          <w:szCs w:val="24"/>
        </w:rPr>
        <w:t xml:space="preserve"> Os documentos externos em meio físico serão recepcionados e digitalizados e serão incluídos no respectivo processo eletrônico registrado no SILGED.</w:t>
      </w:r>
    </w:p>
    <w:p w14:paraId="47105CA3">
      <w:pPr>
        <w:jc w:val="both"/>
        <w:rPr>
          <w:rFonts w:ascii="Palatino Linotype" w:hAnsi="Palatino Linotype"/>
          <w:sz w:val="24"/>
          <w:szCs w:val="24"/>
        </w:rPr>
      </w:pPr>
    </w:p>
    <w:p w14:paraId="56BAFEF2">
      <w:pPr>
        <w:jc w:val="both"/>
        <w:rPr>
          <w:rFonts w:ascii="Palatino Linotype" w:hAnsi="Palatino Linotype"/>
          <w:sz w:val="24"/>
          <w:szCs w:val="24"/>
        </w:rPr>
      </w:pPr>
      <w:r>
        <w:rPr>
          <w:rFonts w:ascii="Palatino Linotype" w:hAnsi="Palatino Linotype"/>
          <w:b/>
          <w:bCs/>
          <w:sz w:val="24"/>
          <w:szCs w:val="24"/>
        </w:rPr>
        <w:t>Parágrafo Único.</w:t>
      </w:r>
      <w:r>
        <w:rPr>
          <w:rFonts w:ascii="Palatino Linotype" w:hAnsi="Palatino Linotype"/>
          <w:sz w:val="24"/>
          <w:szCs w:val="24"/>
        </w:rPr>
        <w:t xml:space="preserve"> Os documentos físicos externos, depois de digitalizados, serão encaminhados a unidade de arquivo para guarda e preservação.</w:t>
      </w:r>
    </w:p>
    <w:p w14:paraId="154F22F9">
      <w:pPr>
        <w:jc w:val="both"/>
        <w:rPr>
          <w:rFonts w:ascii="Palatino Linotype" w:hAnsi="Palatino Linotype"/>
          <w:sz w:val="24"/>
          <w:szCs w:val="24"/>
        </w:rPr>
      </w:pPr>
    </w:p>
    <w:p w14:paraId="7030C93D">
      <w:pPr>
        <w:jc w:val="both"/>
        <w:rPr>
          <w:rFonts w:ascii="Palatino Linotype" w:hAnsi="Palatino Linotype"/>
          <w:sz w:val="24"/>
          <w:szCs w:val="24"/>
        </w:rPr>
      </w:pPr>
      <w:r>
        <w:rPr>
          <w:rFonts w:ascii="Palatino Linotype" w:hAnsi="Palatino Linotype"/>
          <w:b/>
          <w:bCs/>
          <w:sz w:val="24"/>
          <w:szCs w:val="24"/>
        </w:rPr>
        <w:t>Art. 9°</w:t>
      </w:r>
      <w:r>
        <w:rPr>
          <w:rFonts w:ascii="Palatino Linotype" w:hAnsi="Palatino Linotype"/>
          <w:sz w:val="24"/>
          <w:szCs w:val="24"/>
        </w:rPr>
        <w:t xml:space="preserve"> O documento cuja digitalização seja tecnicamente inviável, será:</w:t>
      </w:r>
    </w:p>
    <w:p w14:paraId="621700D0">
      <w:pPr>
        <w:jc w:val="both"/>
        <w:rPr>
          <w:rFonts w:ascii="Palatino Linotype" w:hAnsi="Palatino Linotype"/>
          <w:sz w:val="24"/>
          <w:szCs w:val="24"/>
        </w:rPr>
      </w:pPr>
    </w:p>
    <w:p w14:paraId="6931C39A">
      <w:pPr>
        <w:numPr>
          <w:ilvl w:val="0"/>
          <w:numId w:val="1"/>
        </w:numPr>
        <w:jc w:val="both"/>
        <w:rPr>
          <w:rFonts w:ascii="Palatino Linotype" w:hAnsi="Palatino Linotype"/>
          <w:sz w:val="24"/>
          <w:szCs w:val="24"/>
        </w:rPr>
      </w:pPr>
      <w:r>
        <w:rPr>
          <w:rFonts w:ascii="Palatino Linotype" w:hAnsi="Palatino Linotype"/>
          <w:sz w:val="24"/>
          <w:szCs w:val="24"/>
        </w:rPr>
        <w:t>Identificado e a situação do documento certificada no SILGED;</w:t>
      </w:r>
    </w:p>
    <w:p w14:paraId="6AD797FE">
      <w:pPr>
        <w:jc w:val="both"/>
        <w:rPr>
          <w:rFonts w:ascii="Palatino Linotype" w:hAnsi="Palatino Linotype"/>
          <w:sz w:val="24"/>
          <w:szCs w:val="24"/>
        </w:rPr>
      </w:pPr>
    </w:p>
    <w:p w14:paraId="311B4D5C">
      <w:pPr>
        <w:numPr>
          <w:ilvl w:val="0"/>
          <w:numId w:val="1"/>
        </w:numPr>
        <w:jc w:val="both"/>
        <w:rPr>
          <w:rFonts w:ascii="Palatino Linotype" w:hAnsi="Palatino Linotype"/>
          <w:sz w:val="24"/>
          <w:szCs w:val="24"/>
        </w:rPr>
      </w:pPr>
      <w:r>
        <w:rPr>
          <w:rFonts w:ascii="Palatino Linotype" w:hAnsi="Palatino Linotype"/>
          <w:sz w:val="24"/>
          <w:szCs w:val="24"/>
        </w:rPr>
        <w:t>Incluído resumo de seu conteúdo no sistema;</w:t>
      </w:r>
    </w:p>
    <w:p w14:paraId="4257ADDA">
      <w:pPr>
        <w:jc w:val="both"/>
        <w:rPr>
          <w:rFonts w:ascii="Palatino Linotype" w:hAnsi="Palatino Linotype"/>
          <w:sz w:val="24"/>
          <w:szCs w:val="24"/>
        </w:rPr>
      </w:pPr>
    </w:p>
    <w:p w14:paraId="13F5DF92">
      <w:pPr>
        <w:jc w:val="both"/>
        <w:rPr>
          <w:rFonts w:ascii="Palatino Linotype" w:hAnsi="Palatino Linotype"/>
          <w:sz w:val="24"/>
          <w:szCs w:val="24"/>
        </w:rPr>
      </w:pPr>
      <w:r>
        <w:rPr>
          <w:rFonts w:ascii="Palatino Linotype" w:hAnsi="Palatino Linotype"/>
          <w:sz w:val="24"/>
          <w:szCs w:val="24"/>
        </w:rPr>
        <w:t>III. Armazenado na unidade administrativa responsável pelo assunto, pelo tempo necessário a conclusão do processo.</w:t>
      </w:r>
    </w:p>
    <w:p w14:paraId="31F909FC">
      <w:pPr>
        <w:jc w:val="both"/>
        <w:rPr>
          <w:rFonts w:ascii="Palatino Linotype" w:hAnsi="Palatino Linotype"/>
          <w:sz w:val="24"/>
          <w:szCs w:val="24"/>
        </w:rPr>
      </w:pPr>
    </w:p>
    <w:p w14:paraId="6FAEC002">
      <w:pPr>
        <w:jc w:val="both"/>
        <w:rPr>
          <w:rFonts w:ascii="Palatino Linotype" w:hAnsi="Palatino Linotype"/>
          <w:sz w:val="24"/>
          <w:szCs w:val="24"/>
        </w:rPr>
      </w:pPr>
      <w:r>
        <w:rPr>
          <w:rFonts w:ascii="Palatino Linotype" w:hAnsi="Palatino Linotype"/>
          <w:b/>
          <w:bCs/>
          <w:sz w:val="24"/>
          <w:szCs w:val="24"/>
        </w:rPr>
        <w:t>Art. 10°</w:t>
      </w:r>
      <w:r>
        <w:rPr>
          <w:rFonts w:ascii="Palatino Linotype" w:hAnsi="Palatino Linotype"/>
          <w:sz w:val="24"/>
          <w:szCs w:val="24"/>
        </w:rPr>
        <w:t xml:space="preserve"> Os documentos produzidos no SILGED serão assinados eletronicamente por meio de login e senha ou de certificado digital, observadas as normas de segurança e controle de uso.</w:t>
      </w:r>
    </w:p>
    <w:p w14:paraId="137649C5">
      <w:pPr>
        <w:jc w:val="both"/>
        <w:rPr>
          <w:rFonts w:ascii="Palatino Linotype" w:hAnsi="Palatino Linotype"/>
          <w:sz w:val="24"/>
          <w:szCs w:val="24"/>
        </w:rPr>
      </w:pPr>
    </w:p>
    <w:p w14:paraId="24FBF3E0">
      <w:pPr>
        <w:jc w:val="both"/>
        <w:rPr>
          <w:rFonts w:ascii="Palatino Linotype" w:hAnsi="Palatino Linotype"/>
          <w:sz w:val="24"/>
          <w:szCs w:val="24"/>
        </w:rPr>
      </w:pPr>
      <w:r>
        <w:rPr>
          <w:rFonts w:ascii="Palatino Linotype" w:hAnsi="Palatino Linotype"/>
          <w:sz w:val="24"/>
          <w:szCs w:val="24"/>
        </w:rPr>
        <w:t>Parágrafo único. A assinatura realizada na forma do caput será considerada válida para todos os efeitos legais.</w:t>
      </w:r>
    </w:p>
    <w:p w14:paraId="20B4AE27">
      <w:pPr>
        <w:jc w:val="both"/>
        <w:rPr>
          <w:rFonts w:ascii="Palatino Linotype" w:hAnsi="Palatino Linotype"/>
          <w:sz w:val="24"/>
          <w:szCs w:val="24"/>
        </w:rPr>
      </w:pPr>
    </w:p>
    <w:p w14:paraId="6AFCD721">
      <w:pPr>
        <w:jc w:val="both"/>
        <w:rPr>
          <w:rFonts w:ascii="Palatino Linotype" w:hAnsi="Palatino Linotype"/>
          <w:sz w:val="24"/>
          <w:szCs w:val="24"/>
        </w:rPr>
      </w:pPr>
      <w:r>
        <w:rPr>
          <w:rFonts w:ascii="Palatino Linotype" w:hAnsi="Palatino Linotype"/>
          <w:b/>
          <w:bCs/>
          <w:sz w:val="24"/>
          <w:szCs w:val="24"/>
        </w:rPr>
        <w:t>Art. 11°</w:t>
      </w:r>
      <w:r>
        <w:rPr>
          <w:rFonts w:ascii="Palatino Linotype" w:hAnsi="Palatino Linotype"/>
          <w:sz w:val="24"/>
          <w:szCs w:val="24"/>
        </w:rPr>
        <w:t xml:space="preserve"> O servidor responsável pela abertura (OU CRIAÇÃO) do processo digital deverá:</w:t>
      </w:r>
    </w:p>
    <w:p w14:paraId="39FA864A">
      <w:pPr>
        <w:jc w:val="both"/>
        <w:rPr>
          <w:rFonts w:ascii="Palatino Linotype" w:hAnsi="Palatino Linotype"/>
          <w:sz w:val="24"/>
          <w:szCs w:val="24"/>
        </w:rPr>
      </w:pPr>
    </w:p>
    <w:p w14:paraId="4555CBFE">
      <w:pPr>
        <w:numPr>
          <w:ilvl w:val="0"/>
          <w:numId w:val="2"/>
        </w:numPr>
        <w:jc w:val="both"/>
        <w:rPr>
          <w:rFonts w:ascii="Palatino Linotype" w:hAnsi="Palatino Linotype"/>
          <w:sz w:val="24"/>
          <w:szCs w:val="24"/>
        </w:rPr>
      </w:pPr>
      <w:r>
        <w:rPr>
          <w:rFonts w:ascii="Palatino Linotype" w:hAnsi="Palatino Linotype"/>
          <w:sz w:val="24"/>
          <w:szCs w:val="24"/>
        </w:rPr>
        <w:t>Certificar-se da necessidade do procedimento e realizar consulta prévia sobre a existência ou não de processo sobre a mesma matéria;</w:t>
      </w:r>
    </w:p>
    <w:p w14:paraId="2C5D77C8">
      <w:pPr>
        <w:jc w:val="both"/>
        <w:rPr>
          <w:rFonts w:ascii="Palatino Linotype" w:hAnsi="Palatino Linotype"/>
          <w:sz w:val="24"/>
          <w:szCs w:val="24"/>
        </w:rPr>
      </w:pPr>
    </w:p>
    <w:p w14:paraId="3EC89242">
      <w:pPr>
        <w:jc w:val="both"/>
        <w:rPr>
          <w:rFonts w:ascii="Palatino Linotype" w:hAnsi="Palatino Linotype"/>
          <w:sz w:val="24"/>
          <w:szCs w:val="24"/>
        </w:rPr>
      </w:pPr>
      <w:r>
        <w:rPr>
          <w:rFonts w:ascii="Palatino Linotype" w:hAnsi="Palatino Linotype"/>
          <w:sz w:val="24"/>
          <w:szCs w:val="24"/>
        </w:rPr>
        <w:t>II. Cadastrar as informações obrigatórias requeridas pelo sistema.</w:t>
      </w:r>
    </w:p>
    <w:p w14:paraId="2A633737">
      <w:pPr>
        <w:jc w:val="both"/>
        <w:rPr>
          <w:rFonts w:ascii="Palatino Linotype" w:hAnsi="Palatino Linotype"/>
          <w:sz w:val="24"/>
          <w:szCs w:val="24"/>
        </w:rPr>
      </w:pPr>
    </w:p>
    <w:p w14:paraId="4338C8D6">
      <w:pPr>
        <w:jc w:val="both"/>
        <w:rPr>
          <w:rFonts w:ascii="Palatino Linotype" w:hAnsi="Palatino Linotype"/>
          <w:sz w:val="24"/>
          <w:szCs w:val="24"/>
        </w:rPr>
      </w:pPr>
      <w:r>
        <w:rPr>
          <w:rFonts w:ascii="Palatino Linotype" w:hAnsi="Palatino Linotype"/>
          <w:b/>
          <w:bCs/>
          <w:sz w:val="24"/>
          <w:szCs w:val="24"/>
        </w:rPr>
        <w:t>Art. 12°</w:t>
      </w:r>
      <w:r>
        <w:rPr>
          <w:rFonts w:ascii="Palatino Linotype" w:hAnsi="Palatino Linotype"/>
          <w:sz w:val="24"/>
          <w:szCs w:val="24"/>
        </w:rPr>
        <w:t xml:space="preserve"> A inclusão de documentos no processo deverá observar a ordem cronológica dos atos e fatos ocorridos, ficando como último documento o ato que realizará a tramitação.</w:t>
      </w:r>
    </w:p>
    <w:p w14:paraId="06D2C777">
      <w:pPr>
        <w:jc w:val="both"/>
        <w:rPr>
          <w:rFonts w:ascii="Palatino Linotype" w:hAnsi="Palatino Linotype"/>
          <w:sz w:val="24"/>
          <w:szCs w:val="24"/>
        </w:rPr>
      </w:pPr>
    </w:p>
    <w:p w14:paraId="020523F5">
      <w:pPr>
        <w:jc w:val="both"/>
        <w:rPr>
          <w:rFonts w:ascii="Palatino Linotype" w:hAnsi="Palatino Linotype"/>
          <w:sz w:val="24"/>
          <w:szCs w:val="24"/>
        </w:rPr>
      </w:pPr>
      <w:r>
        <w:rPr>
          <w:rFonts w:ascii="Palatino Linotype" w:hAnsi="Palatino Linotype"/>
          <w:b/>
          <w:bCs/>
          <w:sz w:val="24"/>
          <w:szCs w:val="24"/>
        </w:rPr>
        <w:t>Art. 13°</w:t>
      </w:r>
      <w:r>
        <w:rPr>
          <w:rFonts w:ascii="Palatino Linotype" w:hAnsi="Palatino Linotype"/>
          <w:sz w:val="24"/>
          <w:szCs w:val="24"/>
        </w:rPr>
        <w:t xml:space="preserve"> Cada volume do processo digital deverá contar, no máximo, 500 (quinhentos) folhas.</w:t>
      </w:r>
    </w:p>
    <w:p w14:paraId="1AE2EDA8">
      <w:pPr>
        <w:jc w:val="both"/>
        <w:rPr>
          <w:rFonts w:ascii="Palatino Linotype" w:hAnsi="Palatino Linotype"/>
          <w:sz w:val="24"/>
          <w:szCs w:val="24"/>
        </w:rPr>
      </w:pPr>
      <w:r>
        <w:rPr>
          <w:rFonts w:ascii="Palatino Linotype" w:hAnsi="Palatino Linotype"/>
          <w:b/>
          <w:bCs/>
          <w:sz w:val="24"/>
          <w:szCs w:val="24"/>
        </w:rPr>
        <w:t>Art. 14°</w:t>
      </w:r>
      <w:r>
        <w:rPr>
          <w:rFonts w:ascii="Palatino Linotype" w:hAnsi="Palatino Linotype"/>
          <w:sz w:val="24"/>
          <w:szCs w:val="24"/>
        </w:rPr>
        <w:t xml:space="preserve"> Fica vedada a inclusão no processo digital de:</w:t>
      </w:r>
    </w:p>
    <w:p w14:paraId="0F2AD9D0">
      <w:pPr>
        <w:jc w:val="both"/>
        <w:rPr>
          <w:rFonts w:ascii="Palatino Linotype" w:hAnsi="Palatino Linotype"/>
          <w:sz w:val="24"/>
          <w:szCs w:val="24"/>
        </w:rPr>
      </w:pPr>
    </w:p>
    <w:p w14:paraId="1CD4E385">
      <w:pPr>
        <w:numPr>
          <w:ilvl w:val="0"/>
          <w:numId w:val="3"/>
        </w:numPr>
        <w:jc w:val="both"/>
        <w:rPr>
          <w:rFonts w:ascii="Palatino Linotype" w:hAnsi="Palatino Linotype"/>
          <w:sz w:val="24"/>
          <w:szCs w:val="24"/>
        </w:rPr>
      </w:pPr>
      <w:r>
        <w:rPr>
          <w:rFonts w:ascii="Palatino Linotype" w:hAnsi="Palatino Linotype"/>
          <w:sz w:val="24"/>
          <w:szCs w:val="24"/>
        </w:rPr>
        <w:t>Documento relacionado a outro processo que não tenha correspondência direta ou indireta com o assunto tratado;</w:t>
      </w:r>
    </w:p>
    <w:p w14:paraId="06F6C03B">
      <w:pPr>
        <w:jc w:val="both"/>
        <w:rPr>
          <w:rFonts w:ascii="Palatino Linotype" w:hAnsi="Palatino Linotype"/>
          <w:sz w:val="24"/>
          <w:szCs w:val="24"/>
        </w:rPr>
      </w:pPr>
    </w:p>
    <w:p w14:paraId="2F40972C">
      <w:pPr>
        <w:numPr>
          <w:ilvl w:val="0"/>
          <w:numId w:val="3"/>
        </w:numPr>
        <w:jc w:val="both"/>
        <w:rPr>
          <w:rFonts w:ascii="Palatino Linotype" w:hAnsi="Palatino Linotype"/>
          <w:sz w:val="24"/>
          <w:szCs w:val="24"/>
        </w:rPr>
      </w:pPr>
      <w:r>
        <w:rPr>
          <w:rFonts w:ascii="Palatino Linotype" w:hAnsi="Palatino Linotype"/>
          <w:sz w:val="24"/>
          <w:szCs w:val="24"/>
        </w:rPr>
        <w:t>Documento já constante dos autos;</w:t>
      </w:r>
    </w:p>
    <w:p w14:paraId="25AFAF5A">
      <w:pPr>
        <w:jc w:val="both"/>
        <w:rPr>
          <w:rFonts w:ascii="Palatino Linotype" w:hAnsi="Palatino Linotype"/>
          <w:sz w:val="24"/>
          <w:szCs w:val="24"/>
        </w:rPr>
      </w:pPr>
    </w:p>
    <w:p w14:paraId="5B0C235C">
      <w:pPr>
        <w:numPr>
          <w:ilvl w:val="0"/>
          <w:numId w:val="3"/>
        </w:numPr>
        <w:jc w:val="both"/>
        <w:rPr>
          <w:rFonts w:ascii="Palatino Linotype" w:hAnsi="Palatino Linotype"/>
          <w:sz w:val="24"/>
          <w:szCs w:val="24"/>
        </w:rPr>
      </w:pPr>
      <w:r>
        <w:rPr>
          <w:rFonts w:ascii="Palatino Linotype" w:hAnsi="Palatino Linotype"/>
          <w:sz w:val="24"/>
          <w:szCs w:val="24"/>
        </w:rPr>
        <w:t>Cópia de documento sem a devida autenticação; e</w:t>
      </w:r>
    </w:p>
    <w:p w14:paraId="2828ABE9">
      <w:pPr>
        <w:jc w:val="both"/>
        <w:rPr>
          <w:rFonts w:ascii="Palatino Linotype" w:hAnsi="Palatino Linotype"/>
          <w:sz w:val="24"/>
          <w:szCs w:val="24"/>
        </w:rPr>
      </w:pPr>
    </w:p>
    <w:p w14:paraId="1C1F8C1C">
      <w:pPr>
        <w:numPr>
          <w:ilvl w:val="0"/>
          <w:numId w:val="3"/>
        </w:numPr>
        <w:jc w:val="both"/>
        <w:rPr>
          <w:rFonts w:ascii="Palatino Linotype" w:hAnsi="Palatino Linotype"/>
          <w:sz w:val="24"/>
          <w:szCs w:val="24"/>
        </w:rPr>
      </w:pPr>
      <w:r>
        <w:rPr>
          <w:rFonts w:ascii="Palatino Linotype" w:hAnsi="Palatino Linotype"/>
          <w:sz w:val="24"/>
          <w:szCs w:val="24"/>
        </w:rPr>
        <w:t>Documentos ilegíveis que dificultem a identificação do autor ou a compreensão do conteúdo.</w:t>
      </w:r>
    </w:p>
    <w:p w14:paraId="556AFAC4">
      <w:pPr>
        <w:jc w:val="both"/>
        <w:rPr>
          <w:rFonts w:ascii="Palatino Linotype" w:hAnsi="Palatino Linotype"/>
          <w:sz w:val="24"/>
          <w:szCs w:val="24"/>
        </w:rPr>
      </w:pPr>
    </w:p>
    <w:p w14:paraId="46D13CDF">
      <w:pPr>
        <w:jc w:val="center"/>
        <w:rPr>
          <w:rFonts w:ascii="Palatino Linotype" w:hAnsi="Palatino Linotype"/>
          <w:b/>
          <w:bCs/>
          <w:sz w:val="24"/>
          <w:szCs w:val="24"/>
        </w:rPr>
      </w:pPr>
      <w:r>
        <w:rPr>
          <w:rFonts w:ascii="Palatino Linotype" w:hAnsi="Palatino Linotype"/>
          <w:b/>
          <w:bCs/>
          <w:sz w:val="24"/>
          <w:szCs w:val="24"/>
        </w:rPr>
        <w:t>CAPÍTULO III</w:t>
      </w:r>
    </w:p>
    <w:p w14:paraId="49F04B4F">
      <w:pPr>
        <w:jc w:val="center"/>
        <w:rPr>
          <w:rFonts w:ascii="Palatino Linotype" w:hAnsi="Palatino Linotype"/>
          <w:b/>
          <w:bCs/>
          <w:sz w:val="24"/>
          <w:szCs w:val="24"/>
        </w:rPr>
      </w:pPr>
      <w:r>
        <w:rPr>
          <w:rFonts w:ascii="Palatino Linotype" w:hAnsi="Palatino Linotype"/>
          <w:b/>
          <w:bCs/>
          <w:sz w:val="24"/>
          <w:szCs w:val="24"/>
        </w:rPr>
        <w:t>RESPONSABILIDADES</w:t>
      </w:r>
    </w:p>
    <w:p w14:paraId="02E54A0C">
      <w:pPr>
        <w:jc w:val="both"/>
        <w:rPr>
          <w:rFonts w:ascii="Palatino Linotype" w:hAnsi="Palatino Linotype"/>
          <w:sz w:val="24"/>
          <w:szCs w:val="24"/>
        </w:rPr>
      </w:pPr>
    </w:p>
    <w:p w14:paraId="3ECEE4C8">
      <w:pPr>
        <w:jc w:val="both"/>
        <w:rPr>
          <w:rFonts w:ascii="Palatino Linotype" w:hAnsi="Palatino Linotype"/>
          <w:sz w:val="24"/>
          <w:szCs w:val="24"/>
        </w:rPr>
      </w:pPr>
      <w:r>
        <w:rPr>
          <w:rFonts w:ascii="Palatino Linotype" w:hAnsi="Palatino Linotype"/>
          <w:b/>
          <w:bCs/>
          <w:sz w:val="24"/>
          <w:szCs w:val="24"/>
        </w:rPr>
        <w:t>Art. 15°</w:t>
      </w:r>
      <w:r>
        <w:rPr>
          <w:rFonts w:ascii="Palatino Linotype" w:hAnsi="Palatino Linotype"/>
          <w:sz w:val="24"/>
          <w:szCs w:val="24"/>
        </w:rPr>
        <w:t xml:space="preserve"> São de exclusiva responsabilidade dos usuários:</w:t>
      </w:r>
    </w:p>
    <w:p w14:paraId="4A1AC86E">
      <w:pPr>
        <w:jc w:val="both"/>
        <w:rPr>
          <w:rFonts w:ascii="Palatino Linotype" w:hAnsi="Palatino Linotype"/>
          <w:sz w:val="24"/>
          <w:szCs w:val="24"/>
        </w:rPr>
      </w:pPr>
    </w:p>
    <w:p w14:paraId="0DEEBDF1">
      <w:pPr>
        <w:numPr>
          <w:ilvl w:val="0"/>
          <w:numId w:val="4"/>
        </w:numPr>
        <w:jc w:val="both"/>
        <w:rPr>
          <w:rFonts w:ascii="Palatino Linotype" w:hAnsi="Palatino Linotype"/>
          <w:sz w:val="24"/>
          <w:szCs w:val="24"/>
        </w:rPr>
      </w:pPr>
      <w:r>
        <w:rPr>
          <w:rFonts w:ascii="Palatino Linotype" w:hAnsi="Palatino Linotype"/>
          <w:sz w:val="24"/>
          <w:szCs w:val="24"/>
        </w:rPr>
        <w:t>O sigilo da assinatura eletrônica, não sendo oponível, em qualquer hipótese, alegação de seu uso indevido;</w:t>
      </w:r>
    </w:p>
    <w:p w14:paraId="6AEDC1AE">
      <w:pPr>
        <w:jc w:val="both"/>
        <w:rPr>
          <w:rFonts w:ascii="Palatino Linotype" w:hAnsi="Palatino Linotype"/>
          <w:sz w:val="24"/>
          <w:szCs w:val="24"/>
        </w:rPr>
      </w:pPr>
    </w:p>
    <w:p w14:paraId="012D8910">
      <w:pPr>
        <w:numPr>
          <w:ilvl w:val="0"/>
          <w:numId w:val="4"/>
        </w:numPr>
        <w:jc w:val="both"/>
        <w:rPr>
          <w:rFonts w:ascii="Palatino Linotype" w:hAnsi="Palatino Linotype"/>
          <w:sz w:val="24"/>
          <w:szCs w:val="24"/>
        </w:rPr>
      </w:pPr>
      <w:r>
        <w:rPr>
          <w:rFonts w:ascii="Palatino Linotype" w:hAnsi="Palatino Linotype"/>
          <w:sz w:val="24"/>
          <w:szCs w:val="24"/>
        </w:rPr>
        <w:t>A preparação dos documentos digitais, em conformidade com as restrições impostas pelo sistema, no que diz respeito à formatação e características técnicas;</w:t>
      </w:r>
    </w:p>
    <w:p w14:paraId="09336E95">
      <w:pPr>
        <w:jc w:val="both"/>
        <w:rPr>
          <w:rFonts w:ascii="Palatino Linotype" w:hAnsi="Palatino Linotype"/>
          <w:sz w:val="24"/>
          <w:szCs w:val="24"/>
        </w:rPr>
      </w:pPr>
    </w:p>
    <w:p w14:paraId="2D784084">
      <w:pPr>
        <w:numPr>
          <w:ilvl w:val="0"/>
          <w:numId w:val="4"/>
        </w:numPr>
        <w:jc w:val="both"/>
        <w:rPr>
          <w:rFonts w:ascii="Palatino Linotype" w:hAnsi="Palatino Linotype"/>
          <w:sz w:val="24"/>
          <w:szCs w:val="24"/>
        </w:rPr>
      </w:pPr>
      <w:r>
        <w:rPr>
          <w:rFonts w:ascii="Palatino Linotype" w:hAnsi="Palatino Linotype"/>
          <w:sz w:val="24"/>
          <w:szCs w:val="24"/>
        </w:rPr>
        <w:t>Verificar regularmente no sistema se há documentos ou processos aguardando por sua manifestação pessoal ou pela manifestação de sua unidade de lotação;</w:t>
      </w:r>
    </w:p>
    <w:p w14:paraId="5ACBDBD6">
      <w:pPr>
        <w:jc w:val="both"/>
        <w:rPr>
          <w:rFonts w:ascii="Palatino Linotype" w:hAnsi="Palatino Linotype"/>
          <w:sz w:val="24"/>
          <w:szCs w:val="24"/>
        </w:rPr>
      </w:pPr>
    </w:p>
    <w:p w14:paraId="2BB7F9B6">
      <w:pPr>
        <w:numPr>
          <w:ilvl w:val="0"/>
          <w:numId w:val="4"/>
        </w:numPr>
        <w:jc w:val="both"/>
        <w:rPr>
          <w:rFonts w:ascii="Palatino Linotype" w:hAnsi="Palatino Linotype"/>
          <w:sz w:val="24"/>
          <w:szCs w:val="24"/>
        </w:rPr>
      </w:pPr>
      <w:r>
        <w:rPr>
          <w:rFonts w:ascii="Palatino Linotype" w:hAnsi="Palatino Linotype"/>
          <w:sz w:val="24"/>
          <w:szCs w:val="24"/>
        </w:rPr>
        <w:t>Classificar os documentos e processos correcionais conforme plano de classificação e tabela de temporalidade aplicável ao Poder Legislativo;</w:t>
      </w:r>
    </w:p>
    <w:p w14:paraId="472E5AB8">
      <w:pPr>
        <w:jc w:val="both"/>
        <w:rPr>
          <w:rFonts w:ascii="Palatino Linotype" w:hAnsi="Palatino Linotype"/>
          <w:sz w:val="24"/>
          <w:szCs w:val="24"/>
        </w:rPr>
      </w:pPr>
    </w:p>
    <w:p w14:paraId="66145E04">
      <w:pPr>
        <w:jc w:val="both"/>
        <w:rPr>
          <w:rFonts w:ascii="Palatino Linotype" w:hAnsi="Palatino Linotype"/>
          <w:sz w:val="24"/>
          <w:szCs w:val="24"/>
        </w:rPr>
      </w:pPr>
      <w:r>
        <w:rPr>
          <w:rFonts w:ascii="Palatino Linotype" w:hAnsi="Palatino Linotype"/>
          <w:sz w:val="24"/>
          <w:szCs w:val="24"/>
        </w:rPr>
        <w:t>V. Evitar a impressão de documentos digitais, zelando pela economicidade e responsabilidade socioambiental;</w:t>
      </w:r>
    </w:p>
    <w:p w14:paraId="67C63753">
      <w:pPr>
        <w:jc w:val="both"/>
        <w:rPr>
          <w:rFonts w:ascii="Palatino Linotype" w:hAnsi="Palatino Linotype"/>
          <w:sz w:val="24"/>
          <w:szCs w:val="24"/>
        </w:rPr>
      </w:pPr>
    </w:p>
    <w:p w14:paraId="02BEA75C">
      <w:pPr>
        <w:jc w:val="both"/>
        <w:rPr>
          <w:rFonts w:ascii="Palatino Linotype" w:hAnsi="Palatino Linotype"/>
          <w:sz w:val="24"/>
          <w:szCs w:val="24"/>
        </w:rPr>
      </w:pPr>
      <w:r>
        <w:rPr>
          <w:rFonts w:ascii="Palatino Linotype" w:hAnsi="Palatino Linotype"/>
          <w:b/>
          <w:bCs/>
          <w:sz w:val="24"/>
          <w:szCs w:val="24"/>
        </w:rPr>
        <w:t>Art. 16°</w:t>
      </w:r>
      <w:r>
        <w:rPr>
          <w:rFonts w:ascii="Palatino Linotype" w:hAnsi="Palatino Linotype"/>
          <w:sz w:val="24"/>
          <w:szCs w:val="24"/>
        </w:rPr>
        <w:t xml:space="preserve"> O uso inadequado do SILGED está sujeito à apuração de responsabilidade e à aplicação de sanções administrativas.</w:t>
      </w:r>
    </w:p>
    <w:p w14:paraId="1DDE00E5">
      <w:pPr>
        <w:jc w:val="both"/>
        <w:rPr>
          <w:rFonts w:ascii="Palatino Linotype" w:hAnsi="Palatino Linotype"/>
          <w:sz w:val="24"/>
          <w:szCs w:val="24"/>
        </w:rPr>
      </w:pPr>
    </w:p>
    <w:p w14:paraId="1F9EADB5">
      <w:pPr>
        <w:jc w:val="center"/>
        <w:rPr>
          <w:rFonts w:ascii="Palatino Linotype" w:hAnsi="Palatino Linotype"/>
          <w:b/>
          <w:bCs/>
          <w:sz w:val="24"/>
          <w:szCs w:val="24"/>
        </w:rPr>
      </w:pPr>
      <w:r>
        <w:rPr>
          <w:rFonts w:ascii="Palatino Linotype" w:hAnsi="Palatino Linotype"/>
          <w:b/>
          <w:bCs/>
          <w:sz w:val="24"/>
          <w:szCs w:val="24"/>
        </w:rPr>
        <w:t>CAPÍTULO IV</w:t>
      </w:r>
    </w:p>
    <w:p w14:paraId="1ED9AF0C">
      <w:pPr>
        <w:jc w:val="center"/>
        <w:rPr>
          <w:rFonts w:ascii="Palatino Linotype" w:hAnsi="Palatino Linotype"/>
          <w:sz w:val="24"/>
          <w:szCs w:val="24"/>
        </w:rPr>
      </w:pPr>
      <w:r>
        <w:rPr>
          <w:rFonts w:ascii="Palatino Linotype" w:hAnsi="Palatino Linotype"/>
          <w:b/>
          <w:bCs/>
          <w:sz w:val="24"/>
          <w:szCs w:val="24"/>
        </w:rPr>
        <w:t>DA CONVERSÃO DE PROCESSOS</w:t>
      </w:r>
    </w:p>
    <w:p w14:paraId="4007EF8D">
      <w:pPr>
        <w:jc w:val="both"/>
        <w:rPr>
          <w:rFonts w:ascii="Palatino Linotype" w:hAnsi="Palatino Linotype"/>
          <w:b/>
          <w:bCs/>
          <w:sz w:val="24"/>
          <w:szCs w:val="24"/>
        </w:rPr>
      </w:pPr>
    </w:p>
    <w:p w14:paraId="26703AD5">
      <w:pPr>
        <w:jc w:val="both"/>
        <w:rPr>
          <w:rFonts w:ascii="Palatino Linotype" w:hAnsi="Palatino Linotype"/>
          <w:sz w:val="24"/>
          <w:szCs w:val="24"/>
        </w:rPr>
      </w:pPr>
      <w:r>
        <w:rPr>
          <w:rFonts w:ascii="Palatino Linotype" w:hAnsi="Palatino Linotype"/>
          <w:b/>
          <w:bCs/>
          <w:sz w:val="24"/>
          <w:szCs w:val="24"/>
        </w:rPr>
        <w:t>Art. 17°</w:t>
      </w:r>
      <w:r>
        <w:rPr>
          <w:rFonts w:ascii="Palatino Linotype" w:hAnsi="Palatino Linotype"/>
          <w:sz w:val="24"/>
          <w:szCs w:val="24"/>
        </w:rPr>
        <w:t xml:space="preserve"> Os processos correcionais físicos, em tramitação na data de publicação desta Resolução, poderão ser digitalizados e convertidos em processos digitais, a critério da Administração.</w:t>
      </w:r>
    </w:p>
    <w:p w14:paraId="405FFE1A">
      <w:pPr>
        <w:jc w:val="both"/>
        <w:rPr>
          <w:rFonts w:ascii="Palatino Linotype" w:hAnsi="Palatino Linotype"/>
          <w:sz w:val="24"/>
          <w:szCs w:val="24"/>
        </w:rPr>
      </w:pPr>
    </w:p>
    <w:p w14:paraId="3745FB64">
      <w:pPr>
        <w:jc w:val="both"/>
        <w:rPr>
          <w:rFonts w:ascii="Palatino Linotype" w:hAnsi="Palatino Linotype"/>
          <w:sz w:val="24"/>
          <w:szCs w:val="24"/>
        </w:rPr>
      </w:pPr>
      <w:r>
        <w:rPr>
          <w:rFonts w:ascii="Palatino Linotype" w:hAnsi="Palatino Linotype"/>
          <w:sz w:val="24"/>
          <w:szCs w:val="24"/>
        </w:rPr>
        <w:t>Parágrafo Único. O processo físico convertido em digital será encaminhado à unidade de arquivo, mediante inclusão de termo de conversão, do qual deverá constar o número do processo e/ou documento digital, para guarda e preservação.</w:t>
      </w:r>
    </w:p>
    <w:p w14:paraId="3D70F549">
      <w:pPr>
        <w:jc w:val="both"/>
        <w:rPr>
          <w:rFonts w:ascii="Palatino Linotype" w:hAnsi="Palatino Linotype"/>
          <w:sz w:val="24"/>
          <w:szCs w:val="24"/>
        </w:rPr>
      </w:pPr>
    </w:p>
    <w:p w14:paraId="71D23C10">
      <w:pPr>
        <w:jc w:val="both"/>
        <w:rPr>
          <w:rFonts w:ascii="Palatino Linotype" w:hAnsi="Palatino Linotype"/>
          <w:sz w:val="24"/>
          <w:szCs w:val="24"/>
        </w:rPr>
      </w:pPr>
      <w:r>
        <w:rPr>
          <w:rFonts w:ascii="Palatino Linotype" w:hAnsi="Palatino Linotype"/>
          <w:b/>
          <w:bCs/>
          <w:sz w:val="24"/>
          <w:szCs w:val="24"/>
        </w:rPr>
        <w:t>Art. 18°</w:t>
      </w:r>
      <w:r>
        <w:rPr>
          <w:rFonts w:ascii="Palatino Linotype" w:hAnsi="Palatino Linotype"/>
          <w:sz w:val="24"/>
          <w:szCs w:val="24"/>
        </w:rPr>
        <w:t xml:space="preserve"> A unidade que realizar a conversão do processo físico em digital deverá inserir:</w:t>
      </w:r>
    </w:p>
    <w:p w14:paraId="2BA393CC">
      <w:pPr>
        <w:jc w:val="both"/>
        <w:rPr>
          <w:rFonts w:ascii="Palatino Linotype" w:hAnsi="Palatino Linotype"/>
          <w:sz w:val="24"/>
          <w:szCs w:val="24"/>
        </w:rPr>
      </w:pPr>
    </w:p>
    <w:p w14:paraId="490B6AEC">
      <w:pPr>
        <w:numPr>
          <w:ilvl w:val="0"/>
          <w:numId w:val="5"/>
        </w:numPr>
        <w:jc w:val="both"/>
        <w:rPr>
          <w:rFonts w:ascii="Palatino Linotype" w:hAnsi="Palatino Linotype"/>
          <w:sz w:val="24"/>
          <w:szCs w:val="24"/>
        </w:rPr>
      </w:pPr>
      <w:r>
        <w:rPr>
          <w:rFonts w:ascii="Palatino Linotype" w:hAnsi="Palatino Linotype"/>
          <w:sz w:val="24"/>
          <w:szCs w:val="24"/>
        </w:rPr>
        <w:t>No Sistema de Protocolo do Poder Legislativo o número do processo do SILGED;</w:t>
      </w:r>
    </w:p>
    <w:p w14:paraId="090EFF28">
      <w:pPr>
        <w:jc w:val="both"/>
        <w:rPr>
          <w:rFonts w:ascii="Palatino Linotype" w:hAnsi="Palatino Linotype"/>
          <w:sz w:val="24"/>
          <w:szCs w:val="24"/>
        </w:rPr>
      </w:pPr>
    </w:p>
    <w:p w14:paraId="6A5C05D5">
      <w:pPr>
        <w:jc w:val="both"/>
        <w:rPr>
          <w:rFonts w:ascii="Palatino Linotype" w:hAnsi="Palatino Linotype"/>
          <w:sz w:val="24"/>
          <w:szCs w:val="24"/>
        </w:rPr>
      </w:pPr>
      <w:r>
        <w:rPr>
          <w:rFonts w:ascii="Palatino Linotype" w:hAnsi="Palatino Linotype"/>
          <w:b/>
          <w:bCs/>
          <w:sz w:val="24"/>
          <w:szCs w:val="24"/>
        </w:rPr>
        <w:t>II.</w:t>
      </w:r>
      <w:r>
        <w:rPr>
          <w:rFonts w:ascii="Palatino Linotype" w:hAnsi="Palatino Linotype"/>
          <w:sz w:val="24"/>
          <w:szCs w:val="24"/>
        </w:rPr>
        <w:t xml:space="preserve"> No SILGED o número do processo originário do Sistema de Protocolo do Poder Legislativo.</w:t>
      </w:r>
    </w:p>
    <w:p w14:paraId="70CEA009">
      <w:pPr>
        <w:jc w:val="both"/>
        <w:rPr>
          <w:rFonts w:ascii="Palatino Linotype" w:hAnsi="Palatino Linotype"/>
          <w:sz w:val="24"/>
          <w:szCs w:val="24"/>
        </w:rPr>
      </w:pPr>
    </w:p>
    <w:p w14:paraId="2BC40A53">
      <w:pPr>
        <w:jc w:val="both"/>
        <w:rPr>
          <w:rFonts w:ascii="Palatino Linotype" w:hAnsi="Palatino Linotype"/>
          <w:sz w:val="24"/>
          <w:szCs w:val="24"/>
        </w:rPr>
      </w:pPr>
      <w:r>
        <w:rPr>
          <w:rFonts w:ascii="Palatino Linotype" w:hAnsi="Palatino Linotype"/>
          <w:sz w:val="24"/>
          <w:szCs w:val="24"/>
        </w:rPr>
        <w:t>Parágrafo único. O processo físico, após digitalizado, será a peça inicial do processo eletrônico criado no SILGED, juntando-se em ambos o Termo de Conversão conforme Anexo I.</w:t>
      </w:r>
    </w:p>
    <w:p w14:paraId="6ECA0C93">
      <w:pPr>
        <w:jc w:val="both"/>
        <w:rPr>
          <w:rFonts w:ascii="Palatino Linotype" w:hAnsi="Palatino Linotype"/>
          <w:sz w:val="24"/>
          <w:szCs w:val="24"/>
        </w:rPr>
      </w:pPr>
    </w:p>
    <w:p w14:paraId="6AE95F58">
      <w:pPr>
        <w:jc w:val="center"/>
        <w:rPr>
          <w:rFonts w:ascii="Palatino Linotype" w:hAnsi="Palatino Linotype"/>
          <w:b/>
          <w:bCs/>
          <w:sz w:val="24"/>
          <w:szCs w:val="24"/>
        </w:rPr>
      </w:pPr>
      <w:r>
        <w:rPr>
          <w:rFonts w:ascii="Palatino Linotype" w:hAnsi="Palatino Linotype"/>
          <w:b/>
          <w:bCs/>
          <w:sz w:val="24"/>
          <w:szCs w:val="24"/>
        </w:rPr>
        <w:t>CAPÍTULO V</w:t>
      </w:r>
    </w:p>
    <w:p w14:paraId="37A64E5C">
      <w:pPr>
        <w:jc w:val="center"/>
        <w:rPr>
          <w:rFonts w:ascii="Palatino Linotype" w:hAnsi="Palatino Linotype"/>
          <w:b/>
          <w:bCs/>
          <w:sz w:val="24"/>
          <w:szCs w:val="24"/>
        </w:rPr>
      </w:pPr>
      <w:r>
        <w:rPr>
          <w:rFonts w:ascii="Palatino Linotype" w:hAnsi="Palatino Linotype"/>
          <w:b/>
          <w:bCs/>
          <w:sz w:val="24"/>
          <w:szCs w:val="24"/>
        </w:rPr>
        <w:t>DISPOSIÇÕES FINAIS</w:t>
      </w:r>
    </w:p>
    <w:p w14:paraId="73539864">
      <w:pPr>
        <w:jc w:val="both"/>
        <w:rPr>
          <w:rFonts w:ascii="Palatino Linotype" w:hAnsi="Palatino Linotype"/>
          <w:sz w:val="24"/>
          <w:szCs w:val="24"/>
        </w:rPr>
      </w:pPr>
    </w:p>
    <w:p w14:paraId="77C9AC10">
      <w:pPr>
        <w:jc w:val="both"/>
        <w:rPr>
          <w:rFonts w:ascii="Palatino Linotype" w:hAnsi="Palatino Linotype"/>
          <w:sz w:val="24"/>
          <w:szCs w:val="24"/>
        </w:rPr>
      </w:pPr>
      <w:r>
        <w:rPr>
          <w:rFonts w:ascii="Palatino Linotype" w:hAnsi="Palatino Linotype"/>
          <w:b/>
          <w:bCs/>
          <w:sz w:val="24"/>
          <w:szCs w:val="24"/>
        </w:rPr>
        <w:t>Art. 19°</w:t>
      </w:r>
      <w:r>
        <w:rPr>
          <w:rFonts w:ascii="Palatino Linotype" w:hAnsi="Palatino Linotype"/>
          <w:sz w:val="24"/>
          <w:szCs w:val="24"/>
        </w:rPr>
        <w:t xml:space="preserve"> Os casos omissos serão tratados pela Secretaria de Administração.</w:t>
      </w:r>
    </w:p>
    <w:p w14:paraId="2012A4B3">
      <w:pPr>
        <w:jc w:val="both"/>
        <w:rPr>
          <w:rFonts w:ascii="Palatino Linotype" w:hAnsi="Palatino Linotype"/>
          <w:sz w:val="24"/>
          <w:szCs w:val="24"/>
        </w:rPr>
      </w:pPr>
    </w:p>
    <w:p w14:paraId="460F70AE">
      <w:pPr>
        <w:jc w:val="both"/>
        <w:rPr>
          <w:rFonts w:ascii="Palatino Linotype" w:hAnsi="Palatino Linotype"/>
          <w:sz w:val="24"/>
          <w:szCs w:val="24"/>
        </w:rPr>
      </w:pPr>
      <w:r>
        <w:rPr>
          <w:rFonts w:ascii="Palatino Linotype" w:hAnsi="Palatino Linotype"/>
          <w:b/>
          <w:bCs/>
          <w:sz w:val="24"/>
          <w:szCs w:val="24"/>
        </w:rPr>
        <w:t>Art. 20°</w:t>
      </w:r>
      <w:r>
        <w:rPr>
          <w:rFonts w:ascii="Palatino Linotype" w:hAnsi="Palatino Linotype"/>
          <w:sz w:val="24"/>
          <w:szCs w:val="24"/>
        </w:rPr>
        <w:t xml:space="preserve"> Esta Resolução entra em vigor na data de sua publicação.</w:t>
      </w:r>
    </w:p>
    <w:p w14:paraId="0AE10BAE">
      <w:pPr>
        <w:jc w:val="both"/>
        <w:rPr>
          <w:rFonts w:ascii="Palatino Linotype" w:hAnsi="Palatino Linotype"/>
          <w:sz w:val="24"/>
          <w:szCs w:val="24"/>
        </w:rPr>
      </w:pPr>
    </w:p>
    <w:p w14:paraId="518B2597">
      <w:pPr>
        <w:pStyle w:val="7"/>
        <w:ind w:right="55" w:firstLine="1985"/>
        <w:jc w:val="both"/>
        <w:rPr>
          <w:rFonts w:hint="default" w:ascii="Palatino Linotype" w:hAnsi="Palatino Linotype" w:cs="Palatino Linotype"/>
          <w:bCs/>
          <w:sz w:val="24"/>
          <w:szCs w:val="24"/>
        </w:rPr>
      </w:pPr>
      <w:r>
        <w:rPr>
          <w:rFonts w:hint="default" w:ascii="Palatino Linotype" w:hAnsi="Palatino Linotype" w:cs="Palatino Linotype"/>
          <w:bCs/>
          <w:sz w:val="24"/>
          <w:szCs w:val="24"/>
        </w:rPr>
        <w:t>CÂMARA MUNICIPAL DE FIGUEIRÓPOLIS D’OESTE-MT, EM 2</w:t>
      </w:r>
      <w:r>
        <w:rPr>
          <w:rFonts w:hint="default" w:ascii="Palatino Linotype" w:hAnsi="Palatino Linotype" w:cs="Palatino Linotype"/>
          <w:bCs/>
          <w:sz w:val="24"/>
          <w:szCs w:val="24"/>
          <w:lang w:val="pt-BR"/>
        </w:rPr>
        <w:t>8</w:t>
      </w:r>
      <w:r>
        <w:rPr>
          <w:rFonts w:hint="default" w:ascii="Palatino Linotype" w:hAnsi="Palatino Linotype" w:cs="Palatino Linotype"/>
          <w:bCs/>
          <w:sz w:val="24"/>
          <w:szCs w:val="24"/>
        </w:rPr>
        <w:t xml:space="preserve"> DE </w:t>
      </w:r>
      <w:r>
        <w:rPr>
          <w:rFonts w:hint="default" w:ascii="Palatino Linotype" w:hAnsi="Palatino Linotype" w:cs="Palatino Linotype"/>
          <w:bCs/>
          <w:sz w:val="24"/>
          <w:szCs w:val="24"/>
          <w:lang w:val="pt-BR"/>
        </w:rPr>
        <w:t>ABRIL</w:t>
      </w:r>
      <w:r>
        <w:rPr>
          <w:rFonts w:hint="default" w:ascii="Palatino Linotype" w:hAnsi="Palatino Linotype" w:cs="Palatino Linotype"/>
          <w:bCs/>
          <w:sz w:val="24"/>
          <w:szCs w:val="24"/>
        </w:rPr>
        <w:t xml:space="preserve"> DE 2024.</w:t>
      </w:r>
    </w:p>
    <w:p w14:paraId="44799BBA">
      <w:pPr>
        <w:pStyle w:val="7"/>
        <w:ind w:right="55" w:firstLine="1985"/>
        <w:jc w:val="both"/>
        <w:rPr>
          <w:rFonts w:hint="default" w:ascii="Palatino Linotype" w:hAnsi="Palatino Linotype" w:cs="Palatino Linotype"/>
          <w:bCs/>
          <w:sz w:val="24"/>
          <w:szCs w:val="24"/>
        </w:rPr>
      </w:pPr>
    </w:p>
    <w:p w14:paraId="622DE553">
      <w:pPr>
        <w:pStyle w:val="16"/>
        <w:ind w:left="-284" w:right="-143" w:firstLine="1985"/>
        <w:jc w:val="both"/>
        <w:rPr>
          <w:rFonts w:hint="default" w:ascii="Palatino Linotype" w:hAnsi="Palatino Linotype" w:cs="Palatino Linotype"/>
          <w:b/>
          <w:bCs/>
          <w:sz w:val="24"/>
          <w:szCs w:val="24"/>
          <w:lang w:val="pt-BR"/>
        </w:rPr>
      </w:pPr>
      <w:r>
        <w:rPr>
          <w:rFonts w:hint="default" w:ascii="Palatino Linotype" w:hAnsi="Palatino Linotype" w:cs="Palatino Linotype"/>
          <w:b/>
          <w:bCs/>
          <w:sz w:val="24"/>
          <w:szCs w:val="24"/>
          <w:lang w:val="pt-BR"/>
        </w:rPr>
        <w:t>ANÍSIO APARECIDO PERES</w:t>
      </w:r>
    </w:p>
    <w:p w14:paraId="15C38855">
      <w:pPr>
        <w:pStyle w:val="16"/>
        <w:ind w:left="-284" w:right="-143" w:firstLine="1985"/>
        <w:jc w:val="both"/>
        <w:rPr>
          <w:rFonts w:hint="default" w:ascii="Palatino Linotype" w:hAnsi="Palatino Linotype" w:cs="Palatino Linotype"/>
          <w:b/>
          <w:bCs/>
          <w:sz w:val="24"/>
          <w:szCs w:val="24"/>
        </w:rPr>
      </w:pPr>
      <w:r>
        <w:rPr>
          <w:rFonts w:hint="default" w:ascii="Palatino Linotype" w:hAnsi="Palatino Linotype" w:cs="Palatino Linotype"/>
          <w:b/>
          <w:bCs/>
          <w:sz w:val="24"/>
          <w:szCs w:val="24"/>
        </w:rPr>
        <w:t xml:space="preserve">  </w:t>
      </w:r>
      <w:r>
        <w:rPr>
          <w:rFonts w:hint="default" w:ascii="Palatino Linotype" w:hAnsi="Palatino Linotype" w:cs="Palatino Linotype"/>
          <w:b/>
          <w:bCs/>
          <w:sz w:val="24"/>
          <w:szCs w:val="24"/>
        </w:rPr>
        <w:tab/>
      </w:r>
      <w:r>
        <w:rPr>
          <w:rFonts w:hint="default" w:ascii="Palatino Linotype" w:hAnsi="Palatino Linotype" w:cs="Palatino Linotype"/>
          <w:b/>
          <w:bCs/>
          <w:sz w:val="24"/>
          <w:szCs w:val="24"/>
        </w:rPr>
        <w:t xml:space="preserve">         </w:t>
      </w:r>
      <w:r>
        <w:rPr>
          <w:rFonts w:hint="default" w:ascii="Palatino Linotype" w:hAnsi="Palatino Linotype" w:cs="Palatino Linotype"/>
          <w:b/>
          <w:bCs/>
          <w:sz w:val="24"/>
          <w:szCs w:val="24"/>
          <w:lang w:val="pt-BR"/>
        </w:rPr>
        <w:t xml:space="preserve">   </w:t>
      </w:r>
      <w:r>
        <w:rPr>
          <w:rFonts w:hint="default" w:ascii="Palatino Linotype" w:hAnsi="Palatino Linotype" w:cs="Palatino Linotype"/>
          <w:b/>
          <w:bCs/>
          <w:sz w:val="24"/>
          <w:szCs w:val="24"/>
        </w:rPr>
        <w:t>Presidente</w:t>
      </w:r>
    </w:p>
    <w:p w14:paraId="0951DCEE">
      <w:pPr>
        <w:pStyle w:val="16"/>
        <w:ind w:right="-143"/>
        <w:jc w:val="both"/>
        <w:rPr>
          <w:rFonts w:hint="default" w:ascii="Palatino Linotype" w:hAnsi="Palatino Linotype" w:cs="Palatino Linotype"/>
          <w:sz w:val="24"/>
          <w:szCs w:val="24"/>
        </w:rPr>
      </w:pPr>
    </w:p>
    <w:p w14:paraId="3F263EB9">
      <w:pPr>
        <w:pStyle w:val="16"/>
        <w:ind w:left="-284" w:right="11" w:rightChars="0"/>
        <w:jc w:val="both"/>
        <w:rPr>
          <w:rFonts w:hint="default" w:ascii="Palatino Linotype" w:hAnsi="Palatino Linotype" w:cs="Palatino Linotype"/>
          <w:sz w:val="24"/>
          <w:szCs w:val="24"/>
        </w:rPr>
      </w:pPr>
      <w:r>
        <w:rPr>
          <w:rFonts w:hint="default" w:ascii="Palatino Linotype" w:hAnsi="Palatino Linotype" w:cs="Palatino Linotype"/>
          <w:sz w:val="24"/>
          <w:szCs w:val="24"/>
        </w:rPr>
        <w:t>REGISTRADO E PUBLICADO, na Secretaria de Administração da Câmara Municipal na data supra.</w:t>
      </w:r>
    </w:p>
    <w:p w14:paraId="0D7ED6A8">
      <w:pPr>
        <w:pStyle w:val="16"/>
        <w:ind w:left="-284" w:right="-143" w:firstLine="1985"/>
        <w:jc w:val="both"/>
        <w:rPr>
          <w:rFonts w:hint="default" w:ascii="Palatino Linotype" w:hAnsi="Palatino Linotype" w:cs="Palatino Linotype"/>
          <w:sz w:val="24"/>
          <w:szCs w:val="24"/>
        </w:rPr>
      </w:pPr>
    </w:p>
    <w:p w14:paraId="55FDA9BF">
      <w:pPr>
        <w:pStyle w:val="16"/>
        <w:ind w:left="-284" w:right="-143" w:firstLine="1985"/>
        <w:jc w:val="both"/>
        <w:rPr>
          <w:rFonts w:hint="default" w:ascii="Palatino Linotype" w:hAnsi="Palatino Linotype" w:cs="Palatino Linotype"/>
          <w:b/>
          <w:bCs/>
          <w:sz w:val="24"/>
          <w:szCs w:val="24"/>
          <w:lang w:val="pt-BR"/>
        </w:rPr>
      </w:pPr>
      <w:r>
        <w:rPr>
          <w:rFonts w:hint="default" w:ascii="Palatino Linotype" w:hAnsi="Palatino Linotype" w:cs="Palatino Linotype"/>
          <w:b/>
          <w:bCs/>
          <w:sz w:val="24"/>
          <w:szCs w:val="24"/>
          <w:lang w:val="pt-BR"/>
        </w:rPr>
        <w:t>JOSÉ LUCAS DA SILVA</w:t>
      </w:r>
    </w:p>
    <w:p w14:paraId="7F65DF7F">
      <w:pPr>
        <w:pStyle w:val="16"/>
        <w:ind w:left="-284" w:right="-143" w:firstLine="1985"/>
        <w:jc w:val="both"/>
        <w:rPr>
          <w:rFonts w:hint="default" w:ascii="Palatino Linotype" w:hAnsi="Palatino Linotype" w:cs="Palatino Linotype"/>
          <w:b/>
          <w:bCs/>
          <w:sz w:val="24"/>
          <w:szCs w:val="24"/>
        </w:rPr>
      </w:pPr>
      <w:r>
        <w:rPr>
          <w:rFonts w:hint="default" w:ascii="Palatino Linotype" w:hAnsi="Palatino Linotype" w:cs="Palatino Linotype"/>
          <w:b/>
          <w:bCs/>
          <w:sz w:val="24"/>
          <w:szCs w:val="24"/>
        </w:rPr>
        <w:t xml:space="preserve">   </w:t>
      </w:r>
      <w:r>
        <w:rPr>
          <w:rFonts w:hint="default" w:ascii="Palatino Linotype" w:hAnsi="Palatino Linotype" w:cs="Palatino Linotype"/>
          <w:b/>
          <w:bCs/>
          <w:sz w:val="24"/>
          <w:szCs w:val="24"/>
        </w:rPr>
        <w:tab/>
      </w:r>
      <w:r>
        <w:rPr>
          <w:rFonts w:hint="default" w:ascii="Palatino Linotype" w:hAnsi="Palatino Linotype" w:cs="Palatino Linotype"/>
          <w:b/>
          <w:bCs/>
          <w:sz w:val="24"/>
          <w:szCs w:val="24"/>
        </w:rPr>
        <w:t xml:space="preserve">      1º Secretário</w:t>
      </w:r>
    </w:p>
    <w:p w14:paraId="1F2F055B">
      <w:pPr>
        <w:pStyle w:val="16"/>
      </w:pPr>
    </w:p>
    <w:sectPr>
      <w:headerReference r:id="rId3" w:type="default"/>
      <w:pgSz w:w="11906" w:h="16838"/>
      <w:pgMar w:top="1418" w:right="1134" w:bottom="426" w:left="1361"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Arial Unicode MS">
    <w:altName w:val="Yu Gothic"/>
    <w:panose1 w:val="020B0604020202020204"/>
    <w:charset w:val="00"/>
    <w:family w:val="roman"/>
    <w:pitch w:val="default"/>
    <w:sig w:usb0="00000000" w:usb1="00000000" w:usb2="00000000" w:usb3="00000000" w:csb0="00000001" w:csb1="00000000"/>
  </w:font>
  <w:font w:name="Palatino Linotype">
    <w:panose1 w:val="02040502050505030304"/>
    <w:charset w:val="00"/>
    <w:family w:val="roman"/>
    <w:pitch w:val="default"/>
    <w:sig w:usb0="E0000287" w:usb1="40000013" w:usb2="0000000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Open Sans">
    <w:panose1 w:val="00000000000000000000"/>
    <w:charset w:val="00"/>
    <w:family w:val="swiss"/>
    <w:pitch w:val="default"/>
    <w:sig w:usb0="E00002FF" w:usb1="4000201B" w:usb2="00000028" w:usb3="00000000" w:csb0="0000019F" w:csb1="00000000"/>
  </w:font>
  <w:font w:name="Monotype Corsiva">
    <w:panose1 w:val="03010101010201010101"/>
    <w:charset w:val="00"/>
    <w:family w:val="script"/>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Yu Gothic">
    <w:panose1 w:val="020B0400000000000000"/>
    <w:charset w:val="80"/>
    <w:family w:val="auto"/>
    <w:pitch w:val="default"/>
    <w:sig w:usb0="E00002FF" w:usb1="2AC7FDFF" w:usb2="00000016" w:usb3="00000000" w:csb0="2002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92B94">
    <w:pPr>
      <w:pStyle w:val="10"/>
      <w:jc w:val="center"/>
    </w:pPr>
    <w:r>
      <w:rPr>
        <w:rFonts w:ascii="Monotype Corsiva" w:hAnsi="Monotype Corsiva" w:cs="Lucida Sans Unicode"/>
        <w:b/>
        <w:i/>
        <w:sz w:val="56"/>
      </w:rPr>
      <w:drawing>
        <wp:inline distT="0" distB="0" distL="0" distR="0">
          <wp:extent cx="893445" cy="859155"/>
          <wp:effectExtent l="0" t="0" r="1905" b="0"/>
          <wp:docPr id="46507305" name="Imagem 46507305" descr="Descrição: Descrição: brasão câma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07305" name="Imagem 46507305" descr="Descrição: Descrição: brasão câma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3667" cy="878525"/>
                  </a:xfrm>
                  <a:prstGeom prst="rect">
                    <a:avLst/>
                  </a:prstGeom>
                  <a:noFill/>
                  <a:ln>
                    <a:noFill/>
                  </a:ln>
                </pic:spPr>
              </pic:pic>
            </a:graphicData>
          </a:graphic>
        </wp:inline>
      </w:drawing>
    </w:r>
  </w:p>
  <w:p w14:paraId="1A49A290">
    <w:pPr>
      <w:pStyle w:val="10"/>
      <w:tabs>
        <w:tab w:val="left" w:pos="2366"/>
        <w:tab w:val="center" w:pos="5057"/>
      </w:tabs>
      <w:ind w:left="-284" w:right="-993"/>
      <w:jc w:val="center"/>
      <w:rPr>
        <w:rFonts w:ascii="Monotype Corsiva" w:hAnsi="Monotype Corsiva" w:cs="Lucida Sans Unicode"/>
        <w:b/>
        <w:bCs/>
        <w:i/>
        <w:iCs/>
        <w:sz w:val="48"/>
        <w:szCs w:val="48"/>
      </w:rPr>
    </w:pPr>
    <w:r>
      <w:rPr>
        <w:rFonts w:ascii="Monotype Corsiva" w:hAnsi="Monotype Corsiva" w:cs="Lucida Sans Unicode"/>
        <w:b/>
        <w:bCs/>
        <w:i/>
        <w:iCs/>
        <w:sz w:val="48"/>
        <w:szCs w:val="48"/>
      </w:rPr>
      <w:t>Estado de Mato Grosso</w:t>
    </w:r>
  </w:p>
  <w:p w14:paraId="15EE20F8">
    <w:pPr>
      <w:pStyle w:val="10"/>
      <w:pBdr>
        <w:bottom w:val="double" w:color="auto" w:sz="4" w:space="1"/>
      </w:pBdr>
      <w:tabs>
        <w:tab w:val="right" w:pos="8760"/>
      </w:tabs>
      <w:ind w:left="-284" w:right="-993"/>
      <w:jc w:val="center"/>
    </w:pPr>
    <w:r>
      <w:rPr>
        <w:rFonts w:ascii="Monotype Corsiva" w:hAnsi="Monotype Corsiva" w:cs="Lucida Sans Unicode"/>
        <w:b/>
        <w:bCs/>
        <w:i/>
        <w:iCs/>
        <w:sz w:val="48"/>
        <w:szCs w:val="48"/>
      </w:rPr>
      <w:t>Câmara Municipal de Figueirópolis D’Oeste</w:t>
    </w:r>
  </w:p>
  <w:p w14:paraId="6B73757A">
    <w:pPr>
      <w:pStyle w:val="1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7414C9"/>
    <w:multiLevelType w:val="singleLevel"/>
    <w:tmpl w:val="E67414C9"/>
    <w:lvl w:ilvl="0" w:tentative="0">
      <w:start w:val="1"/>
      <w:numFmt w:val="upperRoman"/>
      <w:suff w:val="space"/>
      <w:lvlText w:val="%1."/>
      <w:lvlJc w:val="left"/>
    </w:lvl>
  </w:abstractNum>
  <w:abstractNum w:abstractNumId="1">
    <w:nsid w:val="F887ABF0"/>
    <w:multiLevelType w:val="singleLevel"/>
    <w:tmpl w:val="F887ABF0"/>
    <w:lvl w:ilvl="0" w:tentative="0">
      <w:start w:val="1"/>
      <w:numFmt w:val="upperRoman"/>
      <w:suff w:val="space"/>
      <w:lvlText w:val="%1."/>
      <w:lvlJc w:val="left"/>
    </w:lvl>
  </w:abstractNum>
  <w:abstractNum w:abstractNumId="2">
    <w:nsid w:val="5B3B90B9"/>
    <w:multiLevelType w:val="singleLevel"/>
    <w:tmpl w:val="5B3B90B9"/>
    <w:lvl w:ilvl="0" w:tentative="0">
      <w:start w:val="1"/>
      <w:numFmt w:val="upperRoman"/>
      <w:suff w:val="space"/>
      <w:lvlText w:val="%1."/>
      <w:lvlJc w:val="left"/>
    </w:lvl>
  </w:abstractNum>
  <w:abstractNum w:abstractNumId="3">
    <w:nsid w:val="5CC58097"/>
    <w:multiLevelType w:val="singleLevel"/>
    <w:tmpl w:val="5CC58097"/>
    <w:lvl w:ilvl="0" w:tentative="0">
      <w:start w:val="1"/>
      <w:numFmt w:val="upperRoman"/>
      <w:suff w:val="space"/>
      <w:lvlText w:val="%1."/>
      <w:lvlJc w:val="left"/>
    </w:lvl>
  </w:abstractNum>
  <w:abstractNum w:abstractNumId="4">
    <w:nsid w:val="627C2009"/>
    <w:multiLevelType w:val="singleLevel"/>
    <w:tmpl w:val="627C2009"/>
    <w:lvl w:ilvl="0" w:tentative="0">
      <w:start w:val="1"/>
      <w:numFmt w:val="upperRoman"/>
      <w:suff w:val="space"/>
      <w:lvlText w:val="%1."/>
      <w:lvlJc w:val="left"/>
      <w:rPr>
        <w:rFonts w:hint="default"/>
        <w:b/>
        <w:bCs/>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defaultTabStop w:val="708"/>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5B6"/>
    <w:rsid w:val="00007CB0"/>
    <w:rsid w:val="00011265"/>
    <w:rsid w:val="000231E4"/>
    <w:rsid w:val="00051705"/>
    <w:rsid w:val="00096B56"/>
    <w:rsid w:val="000B71C0"/>
    <w:rsid w:val="000E6126"/>
    <w:rsid w:val="000F7D63"/>
    <w:rsid w:val="00101BD6"/>
    <w:rsid w:val="00135E66"/>
    <w:rsid w:val="001603BA"/>
    <w:rsid w:val="001A24D2"/>
    <w:rsid w:val="001A6E82"/>
    <w:rsid w:val="001B003A"/>
    <w:rsid w:val="001B3F82"/>
    <w:rsid w:val="001D0CE9"/>
    <w:rsid w:val="001D2E01"/>
    <w:rsid w:val="001D3320"/>
    <w:rsid w:val="001F5B0A"/>
    <w:rsid w:val="002151D5"/>
    <w:rsid w:val="00235AFF"/>
    <w:rsid w:val="0024687D"/>
    <w:rsid w:val="00255161"/>
    <w:rsid w:val="002A7AE8"/>
    <w:rsid w:val="002B682B"/>
    <w:rsid w:val="002B75FB"/>
    <w:rsid w:val="002B77E4"/>
    <w:rsid w:val="002D31D0"/>
    <w:rsid w:val="00323968"/>
    <w:rsid w:val="00340D25"/>
    <w:rsid w:val="00343814"/>
    <w:rsid w:val="0036657D"/>
    <w:rsid w:val="0037091D"/>
    <w:rsid w:val="003A7E95"/>
    <w:rsid w:val="003B62E9"/>
    <w:rsid w:val="003E0775"/>
    <w:rsid w:val="003E7B1A"/>
    <w:rsid w:val="004014FC"/>
    <w:rsid w:val="00402414"/>
    <w:rsid w:val="00436273"/>
    <w:rsid w:val="004459E1"/>
    <w:rsid w:val="00466394"/>
    <w:rsid w:val="0047666B"/>
    <w:rsid w:val="00493933"/>
    <w:rsid w:val="004E18DC"/>
    <w:rsid w:val="004E2943"/>
    <w:rsid w:val="005074E6"/>
    <w:rsid w:val="005167F5"/>
    <w:rsid w:val="00534D93"/>
    <w:rsid w:val="005629AC"/>
    <w:rsid w:val="0056446E"/>
    <w:rsid w:val="00581F69"/>
    <w:rsid w:val="00583257"/>
    <w:rsid w:val="00595603"/>
    <w:rsid w:val="005B6116"/>
    <w:rsid w:val="005C751F"/>
    <w:rsid w:val="005F3F44"/>
    <w:rsid w:val="00610C13"/>
    <w:rsid w:val="006257D5"/>
    <w:rsid w:val="0063479E"/>
    <w:rsid w:val="00643300"/>
    <w:rsid w:val="00646795"/>
    <w:rsid w:val="006510EA"/>
    <w:rsid w:val="0065783B"/>
    <w:rsid w:val="0067517B"/>
    <w:rsid w:val="006867E3"/>
    <w:rsid w:val="006871E6"/>
    <w:rsid w:val="006A03FD"/>
    <w:rsid w:val="006E48EA"/>
    <w:rsid w:val="006F1FEA"/>
    <w:rsid w:val="006F712D"/>
    <w:rsid w:val="0070430D"/>
    <w:rsid w:val="007318EB"/>
    <w:rsid w:val="0074292D"/>
    <w:rsid w:val="007565F6"/>
    <w:rsid w:val="007835B6"/>
    <w:rsid w:val="007C169E"/>
    <w:rsid w:val="007C6D7A"/>
    <w:rsid w:val="007E20DC"/>
    <w:rsid w:val="007E5BA7"/>
    <w:rsid w:val="00817497"/>
    <w:rsid w:val="008178C5"/>
    <w:rsid w:val="00822F87"/>
    <w:rsid w:val="0086513A"/>
    <w:rsid w:val="008705B1"/>
    <w:rsid w:val="00883812"/>
    <w:rsid w:val="0089293E"/>
    <w:rsid w:val="008B0442"/>
    <w:rsid w:val="008C7A8E"/>
    <w:rsid w:val="008E12F4"/>
    <w:rsid w:val="008E267E"/>
    <w:rsid w:val="008E6F0F"/>
    <w:rsid w:val="008F4595"/>
    <w:rsid w:val="009311F0"/>
    <w:rsid w:val="00941B84"/>
    <w:rsid w:val="0097287E"/>
    <w:rsid w:val="00981D8A"/>
    <w:rsid w:val="0098222D"/>
    <w:rsid w:val="00992A2E"/>
    <w:rsid w:val="00995687"/>
    <w:rsid w:val="009957DF"/>
    <w:rsid w:val="009B1DBE"/>
    <w:rsid w:val="009C37D4"/>
    <w:rsid w:val="009C5607"/>
    <w:rsid w:val="009C746B"/>
    <w:rsid w:val="009D2C3F"/>
    <w:rsid w:val="009E1693"/>
    <w:rsid w:val="009F10A8"/>
    <w:rsid w:val="009F509C"/>
    <w:rsid w:val="00A00C75"/>
    <w:rsid w:val="00A13195"/>
    <w:rsid w:val="00A14DD8"/>
    <w:rsid w:val="00A15C59"/>
    <w:rsid w:val="00A21617"/>
    <w:rsid w:val="00A22F36"/>
    <w:rsid w:val="00A45EFD"/>
    <w:rsid w:val="00A77330"/>
    <w:rsid w:val="00A92450"/>
    <w:rsid w:val="00AD3FA6"/>
    <w:rsid w:val="00B10DCD"/>
    <w:rsid w:val="00B16FE8"/>
    <w:rsid w:val="00B32C7A"/>
    <w:rsid w:val="00B42F92"/>
    <w:rsid w:val="00B50CA1"/>
    <w:rsid w:val="00B6191B"/>
    <w:rsid w:val="00B85250"/>
    <w:rsid w:val="00B86635"/>
    <w:rsid w:val="00BA38EA"/>
    <w:rsid w:val="00BA67AF"/>
    <w:rsid w:val="00BA6EF3"/>
    <w:rsid w:val="00BA7CD8"/>
    <w:rsid w:val="00BD2456"/>
    <w:rsid w:val="00C00414"/>
    <w:rsid w:val="00C07484"/>
    <w:rsid w:val="00C23365"/>
    <w:rsid w:val="00C42E90"/>
    <w:rsid w:val="00C7474A"/>
    <w:rsid w:val="00CB1B01"/>
    <w:rsid w:val="00CC2717"/>
    <w:rsid w:val="00CC4D9F"/>
    <w:rsid w:val="00CE1D9E"/>
    <w:rsid w:val="00CE3058"/>
    <w:rsid w:val="00CF183E"/>
    <w:rsid w:val="00D06F3F"/>
    <w:rsid w:val="00D207A9"/>
    <w:rsid w:val="00D41182"/>
    <w:rsid w:val="00D42286"/>
    <w:rsid w:val="00D42FC5"/>
    <w:rsid w:val="00D56510"/>
    <w:rsid w:val="00D62580"/>
    <w:rsid w:val="00D77DBA"/>
    <w:rsid w:val="00D814B7"/>
    <w:rsid w:val="00DA3DA6"/>
    <w:rsid w:val="00DE2DF2"/>
    <w:rsid w:val="00DE5B1D"/>
    <w:rsid w:val="00DF1579"/>
    <w:rsid w:val="00DF5D78"/>
    <w:rsid w:val="00E037F5"/>
    <w:rsid w:val="00E233BD"/>
    <w:rsid w:val="00E50EB0"/>
    <w:rsid w:val="00E530F7"/>
    <w:rsid w:val="00E531BE"/>
    <w:rsid w:val="00E7090D"/>
    <w:rsid w:val="00E72C08"/>
    <w:rsid w:val="00EA04E1"/>
    <w:rsid w:val="00EA3B88"/>
    <w:rsid w:val="00ED4EDB"/>
    <w:rsid w:val="00ED781E"/>
    <w:rsid w:val="00EE2C1F"/>
    <w:rsid w:val="00F32EA6"/>
    <w:rsid w:val="00F43A5E"/>
    <w:rsid w:val="00F672F6"/>
    <w:rsid w:val="00F71DB0"/>
    <w:rsid w:val="00F81205"/>
    <w:rsid w:val="00FC04F7"/>
    <w:rsid w:val="00FE6834"/>
    <w:rsid w:val="00FF1FA4"/>
    <w:rsid w:val="00FF2EA3"/>
    <w:rsid w:val="00FF5227"/>
    <w:rsid w:val="05971B5F"/>
    <w:rsid w:val="25FF7D86"/>
    <w:rsid w:val="2B2B468E"/>
    <w:rsid w:val="2CE47BA0"/>
    <w:rsid w:val="32F21F14"/>
    <w:rsid w:val="370960F7"/>
    <w:rsid w:val="3718392E"/>
    <w:rsid w:val="43A6227B"/>
    <w:rsid w:val="4A0E43D8"/>
    <w:rsid w:val="4A9704D1"/>
    <w:rsid w:val="4FD93D00"/>
    <w:rsid w:val="622B7880"/>
    <w:rsid w:val="70FD48EC"/>
    <w:rsid w:val="7DD713E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atentStyles>
  <w:style w:type="paragraph" w:default="1" w:styleId="1">
    <w:name w:val="Normal"/>
    <w:qFormat/>
    <w:uiPriority w:val="0"/>
    <w:rPr>
      <w:rFonts w:ascii="Calibri" w:hAnsi="Calibri" w:eastAsia="Calibri" w:cs="Arial"/>
      <w:lang w:val="pt-BR" w:eastAsia="pt-BR"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character" w:styleId="5">
    <w:name w:val="Emphasis"/>
    <w:basedOn w:val="2"/>
    <w:qFormat/>
    <w:uiPriority w:val="20"/>
    <w:rPr>
      <w:i/>
      <w:iCs/>
    </w:rPr>
  </w:style>
  <w:style w:type="character" w:styleId="6">
    <w:name w:val="Hyperlink"/>
    <w:basedOn w:val="2"/>
    <w:unhideWhenUsed/>
    <w:qFormat/>
    <w:uiPriority w:val="99"/>
    <w:rPr>
      <w:color w:val="0000FF"/>
      <w:u w:val="single"/>
    </w:rPr>
  </w:style>
  <w:style w:type="paragraph" w:styleId="7">
    <w:name w:val="Body Text"/>
    <w:basedOn w:val="1"/>
    <w:link w:val="19"/>
    <w:semiHidden/>
    <w:unhideWhenUsed/>
    <w:qFormat/>
    <w:uiPriority w:val="99"/>
    <w:pPr>
      <w:spacing w:after="120" w:line="276" w:lineRule="auto"/>
    </w:pPr>
    <w:rPr>
      <w:rFonts w:asciiTheme="minorHAnsi" w:hAnsiTheme="minorHAnsi" w:eastAsiaTheme="minorHAnsi" w:cstheme="minorBidi"/>
      <w:sz w:val="22"/>
      <w:szCs w:val="22"/>
      <w:lang w:eastAsia="en-US"/>
    </w:rPr>
  </w:style>
  <w:style w:type="paragraph" w:styleId="8">
    <w:name w:val="Normal (Web)"/>
    <w:basedOn w:val="1"/>
    <w:unhideWhenUsed/>
    <w:qFormat/>
    <w:uiPriority w:val="99"/>
    <w:pPr>
      <w:spacing w:before="100" w:beforeAutospacing="1" w:after="100" w:afterAutospacing="1"/>
    </w:pPr>
    <w:rPr>
      <w:rFonts w:ascii="Times New Roman" w:hAnsi="Times New Roman" w:eastAsia="Times New Roman" w:cs="Times New Roman"/>
      <w:sz w:val="24"/>
      <w:szCs w:val="24"/>
    </w:rPr>
  </w:style>
  <w:style w:type="paragraph" w:styleId="9">
    <w:name w:val="Body Text 3"/>
    <w:basedOn w:val="1"/>
    <w:link w:val="18"/>
    <w:qFormat/>
    <w:uiPriority w:val="0"/>
    <w:pPr>
      <w:keepNext/>
      <w:jc w:val="both"/>
      <w:outlineLvl w:val="1"/>
    </w:pPr>
    <w:rPr>
      <w:rFonts w:ascii="Times New Roman" w:hAnsi="Times New Roman" w:eastAsia="Times New Roman" w:cs="Times New Roman"/>
      <w:sz w:val="24"/>
      <w:szCs w:val="24"/>
    </w:rPr>
  </w:style>
  <w:style w:type="paragraph" w:styleId="10">
    <w:name w:val="header"/>
    <w:basedOn w:val="1"/>
    <w:link w:val="14"/>
    <w:unhideWhenUsed/>
    <w:qFormat/>
    <w:uiPriority w:val="99"/>
    <w:pPr>
      <w:tabs>
        <w:tab w:val="center" w:pos="4252"/>
        <w:tab w:val="right" w:pos="8504"/>
      </w:tabs>
    </w:pPr>
  </w:style>
  <w:style w:type="paragraph" w:styleId="11">
    <w:name w:val="footer"/>
    <w:basedOn w:val="1"/>
    <w:link w:val="15"/>
    <w:unhideWhenUsed/>
    <w:qFormat/>
    <w:uiPriority w:val="99"/>
    <w:pPr>
      <w:tabs>
        <w:tab w:val="center" w:pos="4252"/>
        <w:tab w:val="right" w:pos="8504"/>
      </w:tabs>
    </w:pPr>
  </w:style>
  <w:style w:type="paragraph" w:styleId="12">
    <w:name w:val="Body Text Indent"/>
    <w:basedOn w:val="1"/>
    <w:link w:val="17"/>
    <w:qFormat/>
    <w:uiPriority w:val="0"/>
    <w:pPr>
      <w:spacing w:line="360" w:lineRule="auto"/>
      <w:ind w:firstLine="1979"/>
      <w:jc w:val="both"/>
    </w:pPr>
    <w:rPr>
      <w:rFonts w:ascii="Arial" w:hAnsi="Arial" w:eastAsia="Times New Roman" w:cs="Times New Roman"/>
      <w:sz w:val="28"/>
      <w:szCs w:val="24"/>
    </w:rPr>
  </w:style>
  <w:style w:type="paragraph" w:customStyle="1" w:styleId="13">
    <w:name w:val="a_PARÁGRAFO_12pt"/>
    <w:basedOn w:val="1"/>
    <w:qFormat/>
    <w:uiPriority w:val="0"/>
    <w:pPr>
      <w:spacing w:before="240"/>
      <w:ind w:firstLine="851"/>
      <w:jc w:val="both"/>
    </w:pPr>
    <w:rPr>
      <w:rFonts w:ascii="Century Gothic" w:hAnsi="Century Gothic" w:eastAsia="Arial Unicode MS" w:cs="Times New Roman"/>
      <w:sz w:val="24"/>
      <w:szCs w:val="24"/>
      <w:lang w:val="zh-CN"/>
    </w:rPr>
  </w:style>
  <w:style w:type="character" w:customStyle="1" w:styleId="14">
    <w:name w:val="Cabeçalho Char"/>
    <w:basedOn w:val="2"/>
    <w:link w:val="10"/>
    <w:qFormat/>
    <w:uiPriority w:val="99"/>
    <w:rPr>
      <w:rFonts w:ascii="Calibri" w:hAnsi="Calibri" w:eastAsia="Calibri" w:cs="Arial"/>
      <w:kern w:val="0"/>
      <w:sz w:val="20"/>
      <w:szCs w:val="20"/>
      <w:lang w:eastAsia="pt-BR"/>
      <w14:ligatures w14:val="none"/>
    </w:rPr>
  </w:style>
  <w:style w:type="character" w:customStyle="1" w:styleId="15">
    <w:name w:val="Rodapé Char"/>
    <w:basedOn w:val="2"/>
    <w:link w:val="11"/>
    <w:qFormat/>
    <w:uiPriority w:val="99"/>
    <w:rPr>
      <w:rFonts w:ascii="Calibri" w:hAnsi="Calibri" w:eastAsia="Calibri" w:cs="Arial"/>
      <w:kern w:val="0"/>
      <w:sz w:val="20"/>
      <w:szCs w:val="20"/>
      <w:lang w:eastAsia="pt-BR"/>
      <w14:ligatures w14:val="none"/>
    </w:rPr>
  </w:style>
  <w:style w:type="paragraph" w:styleId="16">
    <w:name w:val="No Spacing"/>
    <w:qFormat/>
    <w:uiPriority w:val="1"/>
    <w:rPr>
      <w:rFonts w:asciiTheme="minorHAnsi" w:hAnsiTheme="minorHAnsi" w:eastAsiaTheme="minorHAnsi" w:cstheme="minorBidi"/>
      <w:sz w:val="22"/>
      <w:szCs w:val="22"/>
      <w:lang w:val="pt-BR" w:eastAsia="en-US" w:bidi="ar-SA"/>
    </w:rPr>
  </w:style>
  <w:style w:type="character" w:customStyle="1" w:styleId="17">
    <w:name w:val="Recuo de corpo de texto Char"/>
    <w:basedOn w:val="2"/>
    <w:link w:val="12"/>
    <w:qFormat/>
    <w:uiPriority w:val="0"/>
    <w:rPr>
      <w:rFonts w:ascii="Arial" w:hAnsi="Arial" w:eastAsia="Times New Roman" w:cs="Times New Roman"/>
      <w:sz w:val="28"/>
      <w:szCs w:val="24"/>
    </w:rPr>
  </w:style>
  <w:style w:type="character" w:customStyle="1" w:styleId="18">
    <w:name w:val="Corpo de texto 3 Char"/>
    <w:basedOn w:val="2"/>
    <w:link w:val="9"/>
    <w:qFormat/>
    <w:uiPriority w:val="0"/>
    <w:rPr>
      <w:rFonts w:ascii="Times New Roman" w:hAnsi="Times New Roman" w:eastAsia="Times New Roman" w:cs="Times New Roman"/>
      <w:sz w:val="24"/>
      <w:szCs w:val="24"/>
    </w:rPr>
  </w:style>
  <w:style w:type="character" w:customStyle="1" w:styleId="19">
    <w:name w:val="Corpo de texto Char"/>
    <w:basedOn w:val="2"/>
    <w:link w:val="7"/>
    <w:semiHidden/>
    <w:qFormat/>
    <w:uiPriority w:val="99"/>
    <w:rPr>
      <w:sz w:val="22"/>
      <w:szCs w:val="22"/>
      <w:lang w:eastAsia="en-US"/>
    </w:rPr>
  </w:style>
  <w:style w:type="paragraph" w:customStyle="1" w:styleId="20">
    <w:name w:val="ementa"/>
    <w:basedOn w:val="1"/>
    <w:qFormat/>
    <w:uiPriority w:val="0"/>
    <w:pPr>
      <w:spacing w:before="100" w:beforeAutospacing="1" w:after="100" w:afterAutospacing="1"/>
    </w:pPr>
    <w:rPr>
      <w:rFonts w:ascii="Times New Roman" w:hAnsi="Times New Roman" w:eastAsia="Times New Roman"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1525</Words>
  <Characters>8237</Characters>
  <Lines>68</Lines>
  <Paragraphs>19</Paragraphs>
  <TotalTime>0</TotalTime>
  <ScaleCrop>false</ScaleCrop>
  <LinksUpToDate>false</LinksUpToDate>
  <CharactersWithSpaces>9743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2025-03-05T16:45:00Z</dcterms:created>
  <dc:creator>Paulo Cezar Rebuli</dc:creator>
  <cp:lastModifiedBy>Usuario</cp:lastModifiedBy>
  <cp:lastPrinted>2025-02-25T11:10:00Z</cp:lastPrinted>
  <dcterms:modified xsi:type="dcterms:W3CDTF">2025-10-07T16:53:14Z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E768613A524546F686987B89BB63D3D1_13</vt:lpwstr>
  </property>
</Properties>
</file>