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1B8BA230">
      <w:pPr>
        <w:spacing w:after="0"/>
        <w:ind w:right="-710"/>
        <w:jc w:val="both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PT"/>
        </w:rPr>
        <w:t xml:space="preserve">PROJETO DE LEI COMPLEMENTAR Nº </w:t>
      </w:r>
      <w:r>
        <w:rPr>
          <w:rFonts w:hint="default" w:ascii="Arial" w:hAnsi="Arial" w:cs="Arial"/>
          <w:b/>
          <w:sz w:val="24"/>
          <w:szCs w:val="24"/>
          <w:lang w:val="pt-BR"/>
        </w:rPr>
        <w:t>83</w:t>
      </w:r>
      <w:r>
        <w:rPr>
          <w:rFonts w:ascii="Arial" w:hAnsi="Arial" w:cs="Arial"/>
          <w:b/>
          <w:sz w:val="24"/>
          <w:szCs w:val="24"/>
          <w:lang w:val="pt-PT"/>
        </w:rPr>
        <w:t>/202</w:t>
      </w:r>
      <w:r>
        <w:rPr>
          <w:rFonts w:hint="default" w:ascii="Arial" w:hAnsi="Arial" w:cs="Arial"/>
          <w:b/>
          <w:sz w:val="24"/>
          <w:szCs w:val="24"/>
          <w:lang w:val="pt-BR"/>
        </w:rPr>
        <w:t>6</w:t>
      </w:r>
      <w:r>
        <w:rPr>
          <w:rFonts w:ascii="Arial" w:hAnsi="Arial" w:cs="Arial"/>
          <w:b/>
          <w:sz w:val="24"/>
          <w:szCs w:val="24"/>
          <w:lang w:val="pt-PT"/>
        </w:rPr>
        <w:t xml:space="preserve"> DE 2</w:t>
      </w:r>
      <w:r>
        <w:rPr>
          <w:rFonts w:hint="default" w:ascii="Arial" w:hAnsi="Arial" w:cs="Arial"/>
          <w:b/>
          <w:sz w:val="24"/>
          <w:szCs w:val="24"/>
          <w:lang w:val="pt-BR"/>
        </w:rPr>
        <w:t>0</w:t>
      </w:r>
      <w:r>
        <w:rPr>
          <w:rFonts w:ascii="Arial" w:hAnsi="Arial" w:cs="Arial"/>
          <w:b/>
          <w:sz w:val="24"/>
          <w:szCs w:val="24"/>
          <w:lang w:val="pt-PT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MAI</w:t>
      </w:r>
      <w:r>
        <w:rPr>
          <w:rFonts w:ascii="Arial" w:hAnsi="Arial" w:cs="Arial"/>
          <w:b/>
          <w:sz w:val="24"/>
          <w:szCs w:val="24"/>
          <w:lang w:val="pt-PT"/>
        </w:rPr>
        <w:t>O DE 202</w:t>
      </w:r>
      <w:r>
        <w:rPr>
          <w:rFonts w:hint="default" w:ascii="Arial" w:hAnsi="Arial" w:cs="Arial"/>
          <w:b/>
          <w:sz w:val="24"/>
          <w:szCs w:val="24"/>
          <w:lang w:val="pt-BR"/>
        </w:rPr>
        <w:t>6</w:t>
      </w:r>
    </w:p>
    <w:p w14:paraId="15BEFEAB">
      <w:pPr>
        <w:spacing w:after="0"/>
        <w:jc w:val="both"/>
        <w:rPr>
          <w:rFonts w:ascii="Arial" w:hAnsi="Arial" w:cs="Arial"/>
          <w:sz w:val="23"/>
          <w:szCs w:val="23"/>
          <w:lang w:val="pt-PT"/>
        </w:rPr>
      </w:pPr>
      <w:r>
        <w:rPr>
          <w:rFonts w:ascii="Arial" w:hAnsi="Arial" w:cs="Arial"/>
          <w:sz w:val="23"/>
          <w:szCs w:val="23"/>
          <w:lang w:val="pt-PT"/>
        </w:rPr>
        <w:tab/>
      </w:r>
      <w:r>
        <w:rPr>
          <w:rFonts w:ascii="Arial" w:hAnsi="Arial" w:cs="Arial"/>
          <w:sz w:val="23"/>
          <w:szCs w:val="23"/>
          <w:lang w:val="pt-PT"/>
        </w:rPr>
        <w:tab/>
      </w:r>
      <w:r>
        <w:rPr>
          <w:rFonts w:ascii="Arial" w:hAnsi="Arial" w:cs="Arial"/>
          <w:sz w:val="23"/>
          <w:szCs w:val="23"/>
          <w:lang w:val="pt-PT"/>
        </w:rPr>
        <w:tab/>
      </w:r>
    </w:p>
    <w:p w14:paraId="0C8701B3">
      <w:pPr>
        <w:spacing w:after="0"/>
        <w:jc w:val="both"/>
        <w:rPr>
          <w:rFonts w:ascii="Arial" w:hAnsi="Arial" w:cs="Arial"/>
          <w:sz w:val="23"/>
          <w:szCs w:val="23"/>
          <w:lang w:val="pt-PT"/>
        </w:rPr>
      </w:pPr>
    </w:p>
    <w:p w14:paraId="0D562EC7">
      <w:pPr>
        <w:spacing w:after="0"/>
        <w:ind w:left="3119" w:right="-568"/>
        <w:jc w:val="both"/>
        <w:rPr>
          <w:rFonts w:ascii="Arial" w:hAnsi="Arial" w:cs="Arial"/>
          <w:i/>
          <w:sz w:val="24"/>
          <w:szCs w:val="24"/>
          <w:lang w:val="pt-PT"/>
        </w:rPr>
      </w:pPr>
      <w:r>
        <w:rPr>
          <w:rFonts w:ascii="Arial" w:hAnsi="Arial" w:cs="Arial"/>
          <w:i/>
          <w:sz w:val="24"/>
          <w:szCs w:val="24"/>
          <w:lang w:val="pt-PT"/>
        </w:rPr>
        <w:t xml:space="preserve">Dispõe sobre alteração do </w:t>
      </w:r>
      <w:r>
        <w:rPr>
          <w:rFonts w:hint="default" w:ascii="Arial" w:hAnsi="Arial" w:cs="Arial"/>
          <w:i/>
          <w:sz w:val="24"/>
          <w:szCs w:val="24"/>
          <w:lang w:val="pt-BR"/>
        </w:rPr>
        <w:t xml:space="preserve">inciso I do </w:t>
      </w:r>
      <w:r>
        <w:rPr>
          <w:rFonts w:ascii="Arial" w:hAnsi="Arial" w:cs="Arial"/>
          <w:i/>
          <w:sz w:val="24"/>
          <w:szCs w:val="24"/>
          <w:lang w:val="pt-PT"/>
        </w:rPr>
        <w:t xml:space="preserve">Art. </w:t>
      </w:r>
      <w:r>
        <w:rPr>
          <w:rFonts w:hint="default" w:ascii="Arial" w:hAnsi="Arial" w:cs="Arial"/>
          <w:i/>
          <w:sz w:val="24"/>
          <w:szCs w:val="24"/>
          <w:lang w:val="pt-BR"/>
        </w:rPr>
        <w:t>9º, Anexo I (Tabela de Vencimentos Básicos), Anexo IV (Tabela de Grau de Escolaridade), Anexo V (Demonstrativo do Latocionograma)</w:t>
      </w:r>
      <w:r>
        <w:rPr>
          <w:rFonts w:ascii="Arial" w:hAnsi="Arial" w:cs="Arial"/>
          <w:i/>
          <w:sz w:val="24"/>
          <w:szCs w:val="24"/>
          <w:lang w:val="pt-PT"/>
        </w:rPr>
        <w:t xml:space="preserve"> e do Anexo </w:t>
      </w:r>
      <w:r>
        <w:rPr>
          <w:rFonts w:hint="default" w:ascii="Arial" w:hAnsi="Arial" w:cs="Arial"/>
          <w:i/>
          <w:sz w:val="24"/>
          <w:szCs w:val="24"/>
          <w:lang w:val="pt-BR"/>
        </w:rPr>
        <w:t xml:space="preserve">VI - </w:t>
      </w:r>
      <w:r>
        <w:rPr>
          <w:rFonts w:ascii="Arial" w:hAnsi="Arial" w:cs="Arial"/>
          <w:i/>
          <w:sz w:val="24"/>
          <w:szCs w:val="24"/>
          <w:lang w:val="pt-PT"/>
        </w:rPr>
        <w:t>(</w:t>
      </w:r>
      <w:r>
        <w:rPr>
          <w:rFonts w:hint="default" w:ascii="Arial" w:hAnsi="Arial" w:cs="Arial"/>
          <w:i/>
          <w:sz w:val="24"/>
          <w:szCs w:val="24"/>
          <w:lang w:val="pt-BR"/>
        </w:rPr>
        <w:t>Atribuições/Funções</w:t>
      </w:r>
      <w:r>
        <w:rPr>
          <w:rFonts w:ascii="Arial" w:hAnsi="Arial" w:cs="Arial"/>
          <w:i/>
          <w:sz w:val="24"/>
          <w:szCs w:val="24"/>
          <w:lang w:val="pt-PT"/>
        </w:rPr>
        <w:t xml:space="preserve">), ambos da Lei Complementar nº </w:t>
      </w:r>
      <w:r>
        <w:rPr>
          <w:rFonts w:hint="default" w:ascii="Arial" w:hAnsi="Arial" w:cs="Arial"/>
          <w:i/>
          <w:sz w:val="24"/>
          <w:szCs w:val="24"/>
          <w:lang w:val="pt-BR"/>
        </w:rPr>
        <w:t>0</w:t>
      </w:r>
      <w:r>
        <w:rPr>
          <w:rFonts w:ascii="Arial" w:hAnsi="Arial" w:cs="Arial"/>
          <w:i/>
          <w:sz w:val="24"/>
          <w:szCs w:val="24"/>
          <w:lang w:val="pt-PT"/>
        </w:rPr>
        <w:t>21, de 02 de dezembro de 2014, e dá outras providências.</w:t>
      </w:r>
    </w:p>
    <w:p w14:paraId="0D5E986A">
      <w:pPr>
        <w:spacing w:after="0"/>
        <w:jc w:val="both"/>
        <w:rPr>
          <w:rFonts w:ascii="Arial" w:hAnsi="Arial" w:cs="Arial"/>
          <w:sz w:val="23"/>
          <w:szCs w:val="23"/>
          <w:lang w:val="pt-PT"/>
        </w:rPr>
      </w:pPr>
    </w:p>
    <w:p w14:paraId="49E2959A">
      <w:pPr>
        <w:spacing w:after="0"/>
        <w:jc w:val="both"/>
        <w:rPr>
          <w:rFonts w:ascii="Arial" w:hAnsi="Arial" w:cs="Arial"/>
          <w:sz w:val="23"/>
          <w:szCs w:val="23"/>
          <w:lang w:val="pt-PT"/>
        </w:rPr>
      </w:pPr>
    </w:p>
    <w:p w14:paraId="16FDA3CE">
      <w:pPr>
        <w:spacing w:after="0"/>
        <w:ind w:left="-284" w:right="-568" w:firstLine="1985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 xml:space="preserve">Art. 1º - Fica alterado o </w:t>
      </w:r>
      <w:r>
        <w:rPr>
          <w:rFonts w:hint="default" w:ascii="Arial" w:hAnsi="Arial" w:cs="Arial"/>
          <w:sz w:val="24"/>
          <w:szCs w:val="24"/>
          <w:lang w:val="pt-BR"/>
        </w:rPr>
        <w:t xml:space="preserve">inciso </w:t>
      </w:r>
      <w:r>
        <w:rPr>
          <w:rFonts w:hint="default" w:ascii="Arial" w:hAnsi="Arial" w:cs="Arial"/>
          <w:i/>
          <w:sz w:val="24"/>
          <w:szCs w:val="24"/>
          <w:lang w:val="pt-BR"/>
        </w:rPr>
        <w:t xml:space="preserve">I do </w:t>
      </w:r>
      <w:r>
        <w:rPr>
          <w:rFonts w:ascii="Arial" w:hAnsi="Arial" w:cs="Arial"/>
          <w:i/>
          <w:sz w:val="24"/>
          <w:szCs w:val="24"/>
          <w:lang w:val="pt-PT"/>
        </w:rPr>
        <w:t xml:space="preserve">Art. </w:t>
      </w:r>
      <w:r>
        <w:rPr>
          <w:rFonts w:hint="default" w:ascii="Arial" w:hAnsi="Arial" w:cs="Arial"/>
          <w:i/>
          <w:sz w:val="24"/>
          <w:szCs w:val="24"/>
          <w:lang w:val="pt-BR"/>
        </w:rPr>
        <w:t>9º, Anexo I (Tabela de Vencimentos Básicos), Anexo IV (Tabela de Grau de Escolaridade), Anexo V (Demonstrativo do Latocionograma)</w:t>
      </w:r>
      <w:r>
        <w:rPr>
          <w:rFonts w:ascii="Arial" w:hAnsi="Arial" w:cs="Arial"/>
          <w:i/>
          <w:sz w:val="24"/>
          <w:szCs w:val="24"/>
          <w:lang w:val="pt-PT"/>
        </w:rPr>
        <w:t xml:space="preserve"> e do Anexo </w:t>
      </w:r>
      <w:r>
        <w:rPr>
          <w:rFonts w:hint="default" w:ascii="Arial" w:hAnsi="Arial" w:cs="Arial"/>
          <w:i/>
          <w:sz w:val="24"/>
          <w:szCs w:val="24"/>
          <w:lang w:val="pt-BR"/>
        </w:rPr>
        <w:t xml:space="preserve">VI - </w:t>
      </w:r>
      <w:r>
        <w:rPr>
          <w:rFonts w:ascii="Arial" w:hAnsi="Arial" w:cs="Arial"/>
          <w:i/>
          <w:sz w:val="24"/>
          <w:szCs w:val="24"/>
          <w:lang w:val="pt-PT"/>
        </w:rPr>
        <w:t>(</w:t>
      </w:r>
      <w:r>
        <w:rPr>
          <w:rFonts w:hint="default" w:ascii="Arial" w:hAnsi="Arial" w:cs="Arial"/>
          <w:i/>
          <w:sz w:val="24"/>
          <w:szCs w:val="24"/>
          <w:lang w:val="pt-BR"/>
        </w:rPr>
        <w:t>Atribuições/Funções</w:t>
      </w:r>
      <w:r>
        <w:rPr>
          <w:rFonts w:ascii="Arial" w:hAnsi="Arial" w:cs="Arial"/>
          <w:i/>
          <w:sz w:val="24"/>
          <w:szCs w:val="24"/>
          <w:lang w:val="pt-PT"/>
        </w:rPr>
        <w:t>),</w:t>
      </w:r>
      <w:r>
        <w:rPr>
          <w:rFonts w:hint="default" w:ascii="Arial" w:hAnsi="Arial" w:cs="Arial"/>
          <w:i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PT"/>
        </w:rPr>
        <w:t>da Lei Complementar nº 21/2014 e suas posteriores alterações, que passa a vigorar com a seguinte redação:</w:t>
      </w:r>
    </w:p>
    <w:p w14:paraId="1FAA2542">
      <w:pPr>
        <w:spacing w:after="0"/>
        <w:ind w:firstLine="1985"/>
        <w:jc w:val="both"/>
        <w:rPr>
          <w:rFonts w:hint="default" w:ascii="Arial" w:hAnsi="Arial" w:cs="Arial"/>
          <w:sz w:val="22"/>
          <w:szCs w:val="22"/>
          <w:lang w:val="pt-PT"/>
        </w:rPr>
      </w:pPr>
    </w:p>
    <w:p w14:paraId="448A35F1">
      <w:pPr>
        <w:pStyle w:val="10"/>
        <w:tabs>
          <w:tab w:val="clear" w:pos="8504"/>
        </w:tabs>
        <w:bidi w:val="0"/>
        <w:ind w:left="-220" w:leftChars="-100" w:right="-515" w:rightChars="-234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“Art. 9º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  <w:r>
        <w:rPr>
          <w:rFonts w:hint="default" w:ascii="Arial" w:hAnsi="Arial" w:cs="Arial"/>
          <w:sz w:val="24"/>
          <w:szCs w:val="24"/>
        </w:rPr>
        <w:t xml:space="preserve"> O Quadro de Pessoal do Poder Legislativo de Figueirópolis d’Oeste/MT é composto pelas carreiras e seus respectivos cargos efetivos:</w:t>
      </w:r>
    </w:p>
    <w:p w14:paraId="46B9D529">
      <w:pPr>
        <w:pStyle w:val="10"/>
        <w:tabs>
          <w:tab w:val="clear" w:pos="8504"/>
        </w:tabs>
        <w:bidi w:val="0"/>
        <w:ind w:left="-220" w:leftChars="-100" w:right="-515" w:rightChars="-234" w:firstLine="0" w:firstLineChars="0"/>
        <w:jc w:val="both"/>
        <w:rPr>
          <w:rFonts w:hint="default" w:ascii="Arial" w:hAnsi="Arial" w:cs="Arial"/>
          <w:sz w:val="24"/>
          <w:szCs w:val="24"/>
        </w:rPr>
      </w:pPr>
    </w:p>
    <w:p w14:paraId="0C15346B">
      <w:pPr>
        <w:pStyle w:val="10"/>
        <w:tabs>
          <w:tab w:val="clear" w:pos="8504"/>
        </w:tabs>
        <w:bidi w:val="0"/>
        <w:ind w:left="-220" w:leftChars="-100" w:right="-515" w:rightChars="-234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I – Instrumental: Escriturário; Atendente de Serviços Gerais; Agente Administrativo e </w:t>
      </w:r>
      <w:r>
        <w:rPr>
          <w:rFonts w:hint="default" w:ascii="Arial" w:hAnsi="Arial" w:cs="Arial"/>
          <w:sz w:val="24"/>
          <w:szCs w:val="24"/>
          <w:lang w:val="pt-BR"/>
        </w:rPr>
        <w:t>Analista Administrativo</w:t>
      </w:r>
      <w:r>
        <w:rPr>
          <w:rFonts w:hint="default" w:ascii="Arial" w:hAnsi="Arial" w:cs="Arial"/>
          <w:sz w:val="24"/>
          <w:szCs w:val="24"/>
        </w:rPr>
        <w:t>;</w:t>
      </w:r>
    </w:p>
    <w:p w14:paraId="2A8CA9FF">
      <w:pPr>
        <w:spacing w:after="0"/>
        <w:ind w:left="-284" w:right="-568" w:firstLine="1985"/>
        <w:jc w:val="both"/>
        <w:rPr>
          <w:rFonts w:ascii="Arial" w:hAnsi="Arial" w:cs="Arial"/>
          <w:sz w:val="24"/>
          <w:szCs w:val="24"/>
          <w:lang w:val="pt-PT"/>
        </w:rPr>
      </w:pPr>
    </w:p>
    <w:p w14:paraId="124488CD">
      <w:pPr>
        <w:spacing w:after="0"/>
        <w:ind w:left="-284" w:right="-568" w:firstLine="1985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 xml:space="preserve">Art. </w:t>
      </w:r>
      <w:r>
        <w:rPr>
          <w:rFonts w:hint="default" w:ascii="Arial" w:hAnsi="Arial" w:cs="Arial"/>
          <w:sz w:val="24"/>
          <w:szCs w:val="24"/>
          <w:lang w:val="pt-BR"/>
        </w:rPr>
        <w:t>2</w:t>
      </w:r>
      <w:r>
        <w:rPr>
          <w:rFonts w:ascii="Arial" w:hAnsi="Arial" w:cs="Arial"/>
          <w:sz w:val="24"/>
          <w:szCs w:val="24"/>
          <w:lang w:val="pt-PT"/>
        </w:rPr>
        <w:t>º - Esta Lei entra em vigor na data de sua publicação, revogadas as disposições em contrário.</w:t>
      </w:r>
    </w:p>
    <w:p w14:paraId="0B3515A4">
      <w:pPr>
        <w:spacing w:after="0"/>
        <w:ind w:left="-284" w:right="-568" w:firstLine="1985"/>
        <w:jc w:val="both"/>
        <w:rPr>
          <w:rFonts w:ascii="Arial" w:hAnsi="Arial" w:cs="Arial"/>
          <w:sz w:val="24"/>
          <w:szCs w:val="24"/>
          <w:lang w:val="pt-PT"/>
        </w:rPr>
      </w:pPr>
    </w:p>
    <w:p w14:paraId="4F32833E">
      <w:pPr>
        <w:spacing w:after="0"/>
        <w:ind w:firstLine="1985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ab/>
      </w:r>
      <w:r>
        <w:rPr>
          <w:rFonts w:ascii="Arial" w:hAnsi="Arial" w:cs="Arial"/>
          <w:sz w:val="24"/>
          <w:szCs w:val="24"/>
          <w:lang w:val="pt-PT"/>
        </w:rPr>
        <w:tab/>
      </w:r>
    </w:p>
    <w:p w14:paraId="00F77C77">
      <w:pPr>
        <w:spacing w:after="0"/>
        <w:ind w:left="-284" w:right="-568" w:firstLine="1985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Câmara Municipal de Figueirópolis D’Oeste/MT, em 2</w:t>
      </w:r>
      <w:r>
        <w:rPr>
          <w:rFonts w:hint="default" w:ascii="Arial" w:hAnsi="Arial" w:cs="Arial"/>
          <w:sz w:val="24"/>
          <w:szCs w:val="24"/>
          <w:lang w:val="pt-BR"/>
        </w:rPr>
        <w:t>0</w:t>
      </w:r>
      <w:r>
        <w:rPr>
          <w:rFonts w:ascii="Arial" w:hAnsi="Arial" w:cs="Arial"/>
          <w:sz w:val="24"/>
          <w:szCs w:val="24"/>
          <w:lang w:val="pt-PT"/>
        </w:rPr>
        <w:t xml:space="preserve"> de </w:t>
      </w:r>
      <w:r>
        <w:rPr>
          <w:rFonts w:hint="default" w:ascii="Arial" w:hAnsi="Arial" w:cs="Arial"/>
          <w:sz w:val="24"/>
          <w:szCs w:val="24"/>
          <w:lang w:val="pt-BR"/>
        </w:rPr>
        <w:t>mai</w:t>
      </w:r>
      <w:r>
        <w:rPr>
          <w:rFonts w:ascii="Arial" w:hAnsi="Arial" w:cs="Arial"/>
          <w:sz w:val="24"/>
          <w:szCs w:val="24"/>
          <w:lang w:val="pt-PT"/>
        </w:rPr>
        <w:t>o de 202</w:t>
      </w:r>
      <w:r>
        <w:rPr>
          <w:rFonts w:hint="default" w:ascii="Arial" w:hAnsi="Arial" w:cs="Arial"/>
          <w:sz w:val="24"/>
          <w:szCs w:val="24"/>
          <w:lang w:val="pt-BR"/>
        </w:rPr>
        <w:t>6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1BAB774">
      <w:pPr>
        <w:spacing w:after="0"/>
        <w:ind w:left="-284" w:right="-568" w:firstLine="1985"/>
        <w:jc w:val="both"/>
        <w:rPr>
          <w:rFonts w:ascii="Arial" w:hAnsi="Arial" w:cs="Arial"/>
          <w:sz w:val="24"/>
          <w:szCs w:val="24"/>
          <w:lang w:val="pt-PT"/>
        </w:rPr>
      </w:pPr>
    </w:p>
    <w:p w14:paraId="709CEDB2">
      <w:pPr>
        <w:spacing w:after="0"/>
        <w:jc w:val="center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  <w:t>ANÍSIO APARECIDO PERES</w:t>
      </w:r>
    </w:p>
    <w:p w14:paraId="23625F56">
      <w:pPr>
        <w:spacing w:after="0"/>
        <w:jc w:val="center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  <w:t>PRESIDENTE</w:t>
      </w:r>
    </w:p>
    <w:p w14:paraId="07E32697">
      <w:pPr>
        <w:spacing w:after="0"/>
        <w:jc w:val="center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</w:p>
    <w:p w14:paraId="53EF0EF6">
      <w:pPr>
        <w:spacing w:after="0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</w:p>
    <w:p w14:paraId="41E4EE6D">
      <w:pPr>
        <w:spacing w:after="0"/>
        <w:jc w:val="center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  <w:t>JOSÉ LUCAS DA SILVA</w:t>
      </w:r>
    </w:p>
    <w:p w14:paraId="7BEE7809">
      <w:pPr>
        <w:spacing w:after="0"/>
        <w:jc w:val="center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  <w:t>1º SECRETARIO</w:t>
      </w:r>
    </w:p>
    <w:p w14:paraId="1CAE3D88">
      <w:pPr>
        <w:spacing w:after="0"/>
        <w:jc w:val="center"/>
        <w:rPr>
          <w:rFonts w:ascii="Arial" w:hAnsi="Arial" w:eastAsia="Times New Roman" w:cs="Arial"/>
          <w:b/>
          <w:color w:val="000000"/>
          <w:sz w:val="24"/>
          <w:szCs w:val="24"/>
          <w:lang w:eastAsia="pt-BR"/>
        </w:rPr>
      </w:pPr>
    </w:p>
    <w:p w14:paraId="7B9F91AF">
      <w:pPr>
        <w:spacing w:after="0"/>
        <w:jc w:val="center"/>
        <w:rPr>
          <w:rFonts w:hint="default" w:ascii="Arial" w:hAnsi="Arial" w:eastAsia="Times New Roman" w:cs="Arial"/>
          <w:b/>
          <w:color w:val="000000"/>
          <w:sz w:val="24"/>
          <w:szCs w:val="24"/>
          <w:lang w:val="en-US" w:eastAsia="pt-BR"/>
        </w:rPr>
      </w:pPr>
      <w:r>
        <w:rPr>
          <w:rFonts w:hint="default" w:ascii="Arial" w:hAnsi="Arial" w:eastAsia="Times New Roman" w:cs="Arial"/>
          <w:b/>
          <w:color w:val="000000"/>
          <w:sz w:val="24"/>
          <w:szCs w:val="24"/>
          <w:lang w:val="en-US" w:eastAsia="pt-BR"/>
        </w:rPr>
        <w:t>SÉRGIO VISINTIN</w:t>
      </w:r>
    </w:p>
    <w:p w14:paraId="40EB5B8F">
      <w:pPr>
        <w:spacing w:after="0"/>
        <w:jc w:val="center"/>
        <w:rPr>
          <w:rFonts w:hint="default" w:ascii="Arial" w:hAnsi="Arial" w:eastAsia="Times New Roman" w:cs="Arial"/>
          <w:b/>
          <w:color w:val="000000"/>
          <w:sz w:val="24"/>
          <w:szCs w:val="24"/>
          <w:lang w:val="en-US" w:eastAsia="pt-BR"/>
        </w:rPr>
      </w:pPr>
      <w:r>
        <w:rPr>
          <w:rFonts w:hint="default" w:ascii="Arial" w:hAnsi="Arial" w:eastAsia="Times New Roman" w:cs="Arial"/>
          <w:b/>
          <w:color w:val="000000"/>
          <w:sz w:val="24"/>
          <w:szCs w:val="24"/>
          <w:lang w:val="en-US" w:eastAsia="pt-BR"/>
        </w:rPr>
        <w:t>2º SECRETÁRIO</w:t>
      </w:r>
    </w:p>
    <w:p w14:paraId="33B4008E">
      <w:pPr>
        <w:spacing w:after="0"/>
        <w:jc w:val="both"/>
        <w:rPr>
          <w:rFonts w:ascii="Bookman Old Style" w:hAnsi="Bookman Old Style"/>
          <w:sz w:val="24"/>
          <w:szCs w:val="24"/>
          <w:lang w:val="pt-PT"/>
        </w:rPr>
      </w:pPr>
    </w:p>
    <w:p w14:paraId="1B861058">
      <w:pPr>
        <w:spacing w:after="0"/>
        <w:jc w:val="both"/>
        <w:rPr>
          <w:rFonts w:ascii="Bookman Old Style" w:hAnsi="Bookman Old Style"/>
          <w:sz w:val="24"/>
          <w:szCs w:val="24"/>
          <w:lang w:val="pt-PT"/>
        </w:rPr>
      </w:pPr>
    </w:p>
    <w:p w14:paraId="7F7B57D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59405922"/>
      <w:r>
        <w:rPr>
          <w:rFonts w:ascii="Arial" w:hAnsi="Arial" w:cs="Arial"/>
          <w:b/>
          <w:bCs/>
          <w:sz w:val="24"/>
          <w:szCs w:val="24"/>
        </w:rPr>
        <w:t>ANEXO VI - ATRIBUIÇÕES/FUNÇÕES</w:t>
      </w:r>
    </w:p>
    <w:p w14:paraId="437B25C2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76797F6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70BB3909">
      <w:pPr>
        <w:ind w:right="-515" w:rightChars="-2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Analista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Administrativo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E168FB4">
      <w:pPr>
        <w:ind w:right="-515" w:rightChars="-2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Executar na elaboração, conferência e execução da folha de pagamento dos servidores e vereadores; Realizar lançamentos e alimentação de sistemas administrativos, financeiros, contábeis, patrimoniais e de recursos humanos; </w:t>
      </w:r>
      <w:r>
        <w:rPr>
          <w:rFonts w:ascii="Arial" w:hAnsi="Arial" w:cs="Arial"/>
          <w:color w:val="auto"/>
          <w:sz w:val="24"/>
          <w:szCs w:val="24"/>
        </w:rPr>
        <w:t>executar</w:t>
      </w:r>
      <w:r>
        <w:rPr>
          <w:rFonts w:ascii="Arial" w:hAnsi="Arial" w:cs="Arial"/>
          <w:sz w:val="24"/>
          <w:szCs w:val="24"/>
        </w:rPr>
        <w:t xml:space="preserve"> pagamento de despesas públicas; Acompanhar saldos orçamentários, financeiros e bancários; Executar na elaboração de relatórios financeiros, administrativos e demonstrativos internos; executar atividades de tesouraria e movimentações financeiras; Realizar conferência de notas fiscais, recibos, empenhos, ordens de pagamento e demais documentos relacionados à execução da despesa pública; executar às atividades de controle interno e transparência pública; </w:t>
      </w:r>
      <w:r>
        <w:rPr>
          <w:rFonts w:hint="default" w:ascii="Arial" w:hAnsi="Arial" w:cs="Arial"/>
          <w:sz w:val="24"/>
          <w:szCs w:val="24"/>
          <w:lang w:val="pt-BR"/>
        </w:rPr>
        <w:t>Auxiliar</w:t>
      </w:r>
      <w:r>
        <w:rPr>
          <w:rFonts w:ascii="Arial" w:hAnsi="Arial" w:cs="Arial"/>
          <w:sz w:val="24"/>
          <w:szCs w:val="24"/>
        </w:rPr>
        <w:t xml:space="preserve"> no controle patrimonial, inventário e organização dos bens públicos da Câmara Municipal; Operar sistemas informatizados relacionados à administração pública municipal; </w:t>
      </w:r>
      <w:r>
        <w:rPr>
          <w:rFonts w:hint="default" w:ascii="Arial" w:hAnsi="Arial" w:cs="Arial"/>
          <w:sz w:val="24"/>
          <w:szCs w:val="24"/>
          <w:lang w:val="pt-BR"/>
        </w:rPr>
        <w:t>Auxilair no</w:t>
      </w:r>
      <w:r>
        <w:rPr>
          <w:rFonts w:ascii="Arial" w:hAnsi="Arial" w:cs="Arial"/>
          <w:sz w:val="24"/>
          <w:szCs w:val="24"/>
        </w:rPr>
        <w:t xml:space="preserve"> atendimento ao público e suporte administrativo aos setores internos; Acompanhar prazos administrativos, envio de informações obrigatórias e alimentação de sistemas eletrônicos oficiais; Executar nos procedimentos relacionados à gestão de pessoal e vida funcional dos servidores; Executar no cumprimento das exigências da Lei de Responsabilidade Fiscal, Lei Federal nº 4.320/64 e demais normas aplicáveis à administração pública; Executar serviços de digitação, conferência, protocolo, tramitação e controle de documentos administrativos; Prestar apoio e informações às comissões permanentes e temporárias da Câmara Municipal quando solicitado; Executar na publicação de atos oficiais e alimentação do Portal Transparência; Executar outras atividades correlatas de natureza administrativa, financeira e legislativa determinadas pela Presidência ou chefia imediata.</w:t>
      </w:r>
    </w:p>
    <w:p w14:paraId="6D047A53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2A48A4ED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74FD19FD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63423C06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0664C7E8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6291FD27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009803C4">
      <w:pPr>
        <w:ind w:right="-515" w:rightChars="-234"/>
        <w:jc w:val="both"/>
        <w:rPr>
          <w:rFonts w:ascii="Arial" w:hAnsi="Arial" w:cs="Arial"/>
          <w:sz w:val="24"/>
          <w:szCs w:val="24"/>
        </w:rPr>
      </w:pPr>
    </w:p>
    <w:p w14:paraId="3DD6852A">
      <w:pPr>
        <w:ind w:right="-515" w:rightChars="-234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JUSTIFICATIVAS</w:t>
      </w:r>
    </w:p>
    <w:p w14:paraId="1EA013C0">
      <w:pPr>
        <w:ind w:right="-515" w:rightChars="-234" w:firstLine="660" w:firstLineChars="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proposição tem por finalidade modernizar, reorganizar e adequar o quadro de pessoal da Câmara Municipal de Figueirópolis d’Oeste – MT às atuais necessidades administrativas, operacionais e tecnológicas do Poder Legislativo.</w:t>
      </w:r>
    </w:p>
    <w:p w14:paraId="219C7E2B">
      <w:pPr>
        <w:ind w:right="-515" w:rightChars="-234" w:firstLine="660" w:firstLineChars="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que se refere ao cargo de Telefonista, verifica-se que as atribuições anteriormente vinculadas ao referido cargo tornaram-se gradativamente incompatíveis com a atual realidade administrativa e tecnológica da Câmara Municipal, em razão da modernização dos meios de comunicação, utilização de sistemas digitais, telefonia móvel, aplicativos de mensagens instantâneas, atendimento eletrônico e demais ferramentas atualmente incorporadas à rotina administrativa do Poder Legislativo.</w:t>
      </w:r>
    </w:p>
    <w:p w14:paraId="2E9C5698">
      <w:pPr>
        <w:ind w:right="-515" w:rightChars="-234" w:firstLine="660" w:firstLineChars="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Observa-se, ainda, que as atividades anteriormente desempenhadas pelo cargo de Telefonista passaram a ser absorvidas naturalmente pelas rotinas administrativas gerais dos demais setores da Câmara Municipal, não subsistindo necessidade administrativa específica que justifique a manutenção isolada do referido cargo no quadro permanente de pessoal.</w:t>
      </w:r>
    </w:p>
    <w:p w14:paraId="5BA5C857">
      <w:pPr>
        <w:ind w:right="-515" w:rightChars="-234" w:firstLine="660" w:firstLineChars="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 ao cargo de Tesoureiro, a alteração proposta decorre da necessidade de atualização da estrutura administrativa e adequação das funções financeiras atualmente exigidas pela Administração Pública moderna, especialmente diante do aumento das demandas relacionadas à gestão financeira, recursos humanos, alimentação de sistemas eletrônicos, prestação de contas, controle documental, apoio administrativo, transparência pública e atendimento às exigências dos órgãos de controle externo.</w:t>
      </w:r>
    </w:p>
    <w:p w14:paraId="4E4B0C02">
      <w:pPr>
        <w:ind w:right="-515" w:rightChars="-234" w:firstLine="660" w:firstLineChars="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cargo de Analista </w:t>
      </w:r>
      <w:r>
        <w:rPr>
          <w:rFonts w:hint="default" w:ascii="Arial" w:hAnsi="Arial" w:cs="Arial"/>
          <w:sz w:val="24"/>
          <w:szCs w:val="24"/>
          <w:lang w:val="pt-BR"/>
        </w:rPr>
        <w:t>Administrativo</w:t>
      </w:r>
      <w:r>
        <w:rPr>
          <w:rFonts w:ascii="Arial" w:hAnsi="Arial" w:cs="Arial"/>
          <w:sz w:val="24"/>
          <w:szCs w:val="24"/>
        </w:rPr>
        <w:t xml:space="preserve"> é compatível com as atuais necessidades do Poder Legislativo Municipal, permitindo executar, </w:t>
      </w:r>
      <w:r>
        <w:rPr>
          <w:rFonts w:hint="default" w:ascii="Arial" w:hAnsi="Arial" w:cs="Arial"/>
          <w:sz w:val="24"/>
          <w:szCs w:val="24"/>
          <w:lang w:val="pt-BR"/>
        </w:rPr>
        <w:t xml:space="preserve">auxiliar, </w:t>
      </w:r>
      <w:r>
        <w:rPr>
          <w:rFonts w:ascii="Arial" w:hAnsi="Arial" w:cs="Arial"/>
          <w:sz w:val="24"/>
          <w:szCs w:val="24"/>
        </w:rPr>
        <w:t xml:space="preserve">acompanhar, organizar e prestar suporte às atividades financeiras, administrativas, operacionais e de controle interno da Câmara Municipal, contribuindo para maior eficiência, organização administrativa e regularidade dos atos da gestão pública legislativa. </w:t>
      </w:r>
    </w:p>
    <w:p w14:paraId="7AD9D190">
      <w:pPr>
        <w:ind w:right="-515" w:rightChars="-234" w:firstLine="660" w:firstLineChars="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Ressalta-se que a presente alteração não ocasiona prejuízo a direitos eventualmente adquiridos, observadas as disposições constitucionais e legais aplicáveis.</w:t>
      </w:r>
    </w:p>
    <w:p w14:paraId="114975D4">
      <w:pPr>
        <w:ind w:right="-515" w:rightChars="-234" w:firstLine="660" w:firstLineChars="275"/>
        <w:jc w:val="both"/>
        <w:rPr>
          <w:rStyle w:val="7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medida proposta encontra fundamento nos princípios constitucionais da legalidade, eficiência, economicidade, interesse público e modernização administrativa, previstos no art. 37 da Constituição Federal.</w:t>
      </w:r>
    </w:p>
    <w:bookmarkEnd w:id="0"/>
    <w:p w14:paraId="2F2EFF12">
      <w:pPr>
        <w:spacing w:after="0"/>
        <w:ind w:left="2200" w:leftChars="0" w:right="-568" w:firstLine="0" w:firstLineChars="0"/>
        <w:jc w:val="both"/>
        <w:rPr>
          <w:rStyle w:val="7"/>
          <w:rFonts w:ascii="Arial" w:hAnsi="Arial" w:cs="Arial"/>
          <w:sz w:val="24"/>
          <w:szCs w:val="24"/>
        </w:rPr>
      </w:pPr>
      <w:bookmarkStart w:id="1" w:name="_GoBack"/>
      <w:bookmarkEnd w:id="1"/>
    </w:p>
    <w:sectPr>
      <w:headerReference r:id="rId5" w:type="default"/>
      <w:type w:val="continuous"/>
      <w:pgSz w:w="11906" w:h="16838"/>
      <w:pgMar w:top="1417" w:right="1701" w:bottom="142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type Corsiva">
    <w:panose1 w:val="03010101010201010101"/>
    <w:charset w:val="00"/>
    <w:family w:val="script"/>
    <w:pitch w:val="default"/>
    <w:sig w:usb0="00000287" w:usb1="00000000" w:usb2="00000000" w:usb3="00000000" w:csb0="2000009F" w:csb1="DFD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DEFD0">
    <w:pPr>
      <w:tabs>
        <w:tab w:val="left" w:pos="2366"/>
        <w:tab w:val="center" w:pos="4252"/>
        <w:tab w:val="center" w:pos="5057"/>
        <w:tab w:val="right" w:pos="8504"/>
      </w:tabs>
      <w:spacing w:after="0" w:line="240" w:lineRule="auto"/>
      <w:ind w:left="-120" w:right="74"/>
      <w:jc w:val="center"/>
      <w:rPr>
        <w:rFonts w:ascii="Monotype Corsiva" w:hAnsi="Monotype Corsiva" w:eastAsia="Times New Roman" w:cs="Lucida Sans Unicode"/>
        <w:b/>
        <w:bCs/>
        <w:i/>
        <w:iCs/>
        <w:sz w:val="56"/>
        <w:szCs w:val="24"/>
        <w:lang w:eastAsia="pt-BR"/>
      </w:rPr>
    </w:pPr>
    <w:r>
      <w:rPr>
        <w:rFonts w:ascii="Monotype Corsiva" w:hAnsi="Monotype Corsiva" w:cs="Lucida Sans Unicode"/>
        <w:b/>
        <w:i/>
        <w:sz w:val="56"/>
        <w:lang w:eastAsia="pt-BR"/>
      </w:rPr>
      <w:drawing>
        <wp:inline distT="0" distB="0" distL="0" distR="0">
          <wp:extent cx="1143000" cy="1085850"/>
          <wp:effectExtent l="0" t="0" r="0" b="0"/>
          <wp:docPr id="8" name="Imagem 8" descr="Descrição: 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Descrição: brasão câ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05B94E">
    <w:pPr>
      <w:tabs>
        <w:tab w:val="left" w:pos="2366"/>
        <w:tab w:val="center" w:pos="4252"/>
        <w:tab w:val="center" w:pos="5057"/>
        <w:tab w:val="right" w:pos="8504"/>
      </w:tabs>
      <w:spacing w:after="0" w:line="240" w:lineRule="auto"/>
      <w:ind w:left="-120" w:right="74"/>
      <w:jc w:val="center"/>
      <w:rPr>
        <w:rFonts w:ascii="Monotype Corsiva" w:hAnsi="Monotype Corsiva" w:eastAsia="Times New Roman" w:cs="Lucida Sans Unicode"/>
        <w:b/>
        <w:bCs/>
        <w:i/>
        <w:iCs/>
        <w:sz w:val="56"/>
        <w:szCs w:val="24"/>
        <w:lang w:eastAsia="pt-BR"/>
      </w:rPr>
    </w:pPr>
    <w:r>
      <w:rPr>
        <w:rFonts w:ascii="Monotype Corsiva" w:hAnsi="Monotype Corsiva" w:eastAsia="Times New Roman" w:cs="Lucida Sans Unicode"/>
        <w:b/>
        <w:bCs/>
        <w:i/>
        <w:iCs/>
        <w:sz w:val="56"/>
        <w:szCs w:val="24"/>
        <w:lang w:eastAsia="pt-BR"/>
      </w:rPr>
      <w:t>Estado de Mato Grosso</w:t>
    </w:r>
  </w:p>
  <w:p w14:paraId="05A2CEC4">
    <w:pPr>
      <w:tabs>
        <w:tab w:val="center" w:pos="4252"/>
        <w:tab w:val="right" w:pos="8760"/>
      </w:tabs>
      <w:spacing w:after="0" w:line="240" w:lineRule="auto"/>
      <w:ind w:left="-120" w:right="-286"/>
      <w:jc w:val="center"/>
      <w:rPr>
        <w:rFonts w:ascii="Arial" w:hAnsi="Arial" w:eastAsia="Times New Roman" w:cs="Arial"/>
        <w:b/>
        <w:bCs/>
        <w:i/>
        <w:iCs/>
        <w:sz w:val="28"/>
        <w:szCs w:val="24"/>
        <w:lang w:eastAsia="pt-BR"/>
      </w:rPr>
    </w:pPr>
    <w:r>
      <w:rPr>
        <w:rFonts w:ascii="Monotype Corsiva" w:hAnsi="Monotype Corsiva" w:eastAsia="Times New Roman" w:cs="Lucida Sans Unicode"/>
        <w:b/>
        <w:bCs/>
        <w:i/>
        <w:iCs/>
        <w:sz w:val="56"/>
        <w:szCs w:val="24"/>
        <w:lang w:eastAsia="pt-BR"/>
      </w:rPr>
      <w:t>Câmara Municipal de Figueirópolis D’Oeste</w:t>
    </w:r>
  </w:p>
  <w:p w14:paraId="51E2D81E">
    <w:pPr>
      <w:pBdr>
        <w:top w:val="double" w:color="auto" w:sz="4" w:space="5"/>
      </w:pBdr>
      <w:tabs>
        <w:tab w:val="center" w:pos="4252"/>
        <w:tab w:val="right" w:pos="8504"/>
      </w:tabs>
      <w:spacing w:after="0" w:line="240" w:lineRule="auto"/>
      <w:ind w:left="-1200" w:right="-879"/>
      <w:jc w:val="center"/>
      <w:rPr>
        <w:rFonts w:ascii="Times New Roman" w:hAnsi="Times New Roman" w:eastAsia="Times New Roman" w:cs="Times New Roman"/>
        <w:b/>
        <w:bCs/>
        <w:i/>
        <w:iCs/>
        <w:sz w:val="10"/>
        <w:szCs w:val="10"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27F"/>
    <w:rsid w:val="00010015"/>
    <w:rsid w:val="00010533"/>
    <w:rsid w:val="00030F5C"/>
    <w:rsid w:val="00055F32"/>
    <w:rsid w:val="0006189A"/>
    <w:rsid w:val="000B2932"/>
    <w:rsid w:val="000B2CB1"/>
    <w:rsid w:val="000C7253"/>
    <w:rsid w:val="000E02C0"/>
    <w:rsid w:val="000E1240"/>
    <w:rsid w:val="000F4809"/>
    <w:rsid w:val="00111C72"/>
    <w:rsid w:val="00147310"/>
    <w:rsid w:val="0016338B"/>
    <w:rsid w:val="00176CC1"/>
    <w:rsid w:val="00177883"/>
    <w:rsid w:val="001C3E70"/>
    <w:rsid w:val="001F2753"/>
    <w:rsid w:val="002105E4"/>
    <w:rsid w:val="00213F2D"/>
    <w:rsid w:val="00235D6C"/>
    <w:rsid w:val="00236A98"/>
    <w:rsid w:val="00245369"/>
    <w:rsid w:val="00293DFF"/>
    <w:rsid w:val="002A60BB"/>
    <w:rsid w:val="002B59BC"/>
    <w:rsid w:val="002B6DA3"/>
    <w:rsid w:val="002C0391"/>
    <w:rsid w:val="00312D67"/>
    <w:rsid w:val="00312EAC"/>
    <w:rsid w:val="003321D8"/>
    <w:rsid w:val="0034127F"/>
    <w:rsid w:val="00345224"/>
    <w:rsid w:val="00350204"/>
    <w:rsid w:val="00367DCE"/>
    <w:rsid w:val="003717B3"/>
    <w:rsid w:val="00377C3C"/>
    <w:rsid w:val="0038229A"/>
    <w:rsid w:val="00391C5F"/>
    <w:rsid w:val="00392195"/>
    <w:rsid w:val="003B2D01"/>
    <w:rsid w:val="003E4B13"/>
    <w:rsid w:val="00432CAA"/>
    <w:rsid w:val="00433939"/>
    <w:rsid w:val="004377DA"/>
    <w:rsid w:val="00450926"/>
    <w:rsid w:val="004667EB"/>
    <w:rsid w:val="0048258E"/>
    <w:rsid w:val="00493964"/>
    <w:rsid w:val="004B1C1A"/>
    <w:rsid w:val="004D69A6"/>
    <w:rsid w:val="004D74C9"/>
    <w:rsid w:val="004E329F"/>
    <w:rsid w:val="004E789A"/>
    <w:rsid w:val="0050125F"/>
    <w:rsid w:val="00506EF0"/>
    <w:rsid w:val="00523E0C"/>
    <w:rsid w:val="00523FF4"/>
    <w:rsid w:val="0052553E"/>
    <w:rsid w:val="005427D1"/>
    <w:rsid w:val="005541DD"/>
    <w:rsid w:val="005642C6"/>
    <w:rsid w:val="00570E7C"/>
    <w:rsid w:val="005A4068"/>
    <w:rsid w:val="005D0513"/>
    <w:rsid w:val="005D6173"/>
    <w:rsid w:val="005D7931"/>
    <w:rsid w:val="00623FBC"/>
    <w:rsid w:val="0062415E"/>
    <w:rsid w:val="00631505"/>
    <w:rsid w:val="0063562B"/>
    <w:rsid w:val="00637D2C"/>
    <w:rsid w:val="0067167D"/>
    <w:rsid w:val="006870E6"/>
    <w:rsid w:val="006A144E"/>
    <w:rsid w:val="006A1629"/>
    <w:rsid w:val="006E6035"/>
    <w:rsid w:val="00713BC6"/>
    <w:rsid w:val="00716384"/>
    <w:rsid w:val="00723717"/>
    <w:rsid w:val="007319C4"/>
    <w:rsid w:val="0073546F"/>
    <w:rsid w:val="00753AA2"/>
    <w:rsid w:val="00776349"/>
    <w:rsid w:val="00795286"/>
    <w:rsid w:val="00796187"/>
    <w:rsid w:val="007B1E98"/>
    <w:rsid w:val="007B239D"/>
    <w:rsid w:val="007C1B6B"/>
    <w:rsid w:val="007E5BA7"/>
    <w:rsid w:val="0081597A"/>
    <w:rsid w:val="00835C08"/>
    <w:rsid w:val="0084639D"/>
    <w:rsid w:val="00855E27"/>
    <w:rsid w:val="00863D24"/>
    <w:rsid w:val="00876338"/>
    <w:rsid w:val="008806AC"/>
    <w:rsid w:val="008B6DAA"/>
    <w:rsid w:val="008D2C94"/>
    <w:rsid w:val="008E4280"/>
    <w:rsid w:val="008F10FF"/>
    <w:rsid w:val="0090178A"/>
    <w:rsid w:val="009023F7"/>
    <w:rsid w:val="0091224D"/>
    <w:rsid w:val="0094388E"/>
    <w:rsid w:val="00943A33"/>
    <w:rsid w:val="0098172D"/>
    <w:rsid w:val="009863BF"/>
    <w:rsid w:val="00986FFE"/>
    <w:rsid w:val="00990C99"/>
    <w:rsid w:val="009F741F"/>
    <w:rsid w:val="00A07202"/>
    <w:rsid w:val="00A11BE6"/>
    <w:rsid w:val="00A2769E"/>
    <w:rsid w:val="00A5091E"/>
    <w:rsid w:val="00A67A1B"/>
    <w:rsid w:val="00A707DB"/>
    <w:rsid w:val="00A75C96"/>
    <w:rsid w:val="00A7620D"/>
    <w:rsid w:val="00A85036"/>
    <w:rsid w:val="00A86C60"/>
    <w:rsid w:val="00AA3128"/>
    <w:rsid w:val="00AA7CFD"/>
    <w:rsid w:val="00AD1E1E"/>
    <w:rsid w:val="00AD271E"/>
    <w:rsid w:val="00AF4E68"/>
    <w:rsid w:val="00B0587D"/>
    <w:rsid w:val="00B06ACB"/>
    <w:rsid w:val="00B13306"/>
    <w:rsid w:val="00B25E6D"/>
    <w:rsid w:val="00B37592"/>
    <w:rsid w:val="00B46192"/>
    <w:rsid w:val="00B50A45"/>
    <w:rsid w:val="00B6100B"/>
    <w:rsid w:val="00BD3601"/>
    <w:rsid w:val="00BE039F"/>
    <w:rsid w:val="00BF080A"/>
    <w:rsid w:val="00C03955"/>
    <w:rsid w:val="00C738C8"/>
    <w:rsid w:val="00C94DB4"/>
    <w:rsid w:val="00CA2F35"/>
    <w:rsid w:val="00CB4B62"/>
    <w:rsid w:val="00CE3058"/>
    <w:rsid w:val="00CE7055"/>
    <w:rsid w:val="00D06158"/>
    <w:rsid w:val="00D07854"/>
    <w:rsid w:val="00D12B2D"/>
    <w:rsid w:val="00D25ED6"/>
    <w:rsid w:val="00D478C2"/>
    <w:rsid w:val="00D64595"/>
    <w:rsid w:val="00D65233"/>
    <w:rsid w:val="00D95535"/>
    <w:rsid w:val="00D97BD8"/>
    <w:rsid w:val="00DD4C6D"/>
    <w:rsid w:val="00DE1BCF"/>
    <w:rsid w:val="00DE6223"/>
    <w:rsid w:val="00DE6A4A"/>
    <w:rsid w:val="00DF5114"/>
    <w:rsid w:val="00E05729"/>
    <w:rsid w:val="00E0636A"/>
    <w:rsid w:val="00E372CC"/>
    <w:rsid w:val="00E429F1"/>
    <w:rsid w:val="00E7698E"/>
    <w:rsid w:val="00E865C1"/>
    <w:rsid w:val="00E8676A"/>
    <w:rsid w:val="00EB25FF"/>
    <w:rsid w:val="00EB6E83"/>
    <w:rsid w:val="00EB79F3"/>
    <w:rsid w:val="00EC5FF1"/>
    <w:rsid w:val="00ED2D17"/>
    <w:rsid w:val="00EE7B8D"/>
    <w:rsid w:val="00EF690F"/>
    <w:rsid w:val="00F05E90"/>
    <w:rsid w:val="00F170FE"/>
    <w:rsid w:val="00F334B7"/>
    <w:rsid w:val="00F602A3"/>
    <w:rsid w:val="00F70A46"/>
    <w:rsid w:val="00F84FC0"/>
    <w:rsid w:val="00FA4A5F"/>
    <w:rsid w:val="00FB0913"/>
    <w:rsid w:val="00FB6217"/>
    <w:rsid w:val="00FC0F70"/>
    <w:rsid w:val="00FC1972"/>
    <w:rsid w:val="00FE671E"/>
    <w:rsid w:val="00FE7DDE"/>
    <w:rsid w:val="00FF4844"/>
    <w:rsid w:val="00FF6D52"/>
    <w:rsid w:val="05203B5A"/>
    <w:rsid w:val="060A20AF"/>
    <w:rsid w:val="0B825543"/>
    <w:rsid w:val="0B83153D"/>
    <w:rsid w:val="0EEB0274"/>
    <w:rsid w:val="0F2933E2"/>
    <w:rsid w:val="119D5F55"/>
    <w:rsid w:val="120854E2"/>
    <w:rsid w:val="171A1FB8"/>
    <w:rsid w:val="177A5491"/>
    <w:rsid w:val="178B5806"/>
    <w:rsid w:val="190068CE"/>
    <w:rsid w:val="231C555E"/>
    <w:rsid w:val="261A49D8"/>
    <w:rsid w:val="27873CC3"/>
    <w:rsid w:val="2F682F4F"/>
    <w:rsid w:val="32063522"/>
    <w:rsid w:val="32626D5A"/>
    <w:rsid w:val="32851872"/>
    <w:rsid w:val="32C200D7"/>
    <w:rsid w:val="32E87567"/>
    <w:rsid w:val="352C191E"/>
    <w:rsid w:val="370F6463"/>
    <w:rsid w:val="3A7C1EEB"/>
    <w:rsid w:val="46CE5BCB"/>
    <w:rsid w:val="4795553F"/>
    <w:rsid w:val="4B585C28"/>
    <w:rsid w:val="52CA1363"/>
    <w:rsid w:val="55A2552E"/>
    <w:rsid w:val="5698050D"/>
    <w:rsid w:val="5843365E"/>
    <w:rsid w:val="593F3312"/>
    <w:rsid w:val="5FDB5953"/>
    <w:rsid w:val="60B302B8"/>
    <w:rsid w:val="637B3250"/>
    <w:rsid w:val="64691C0A"/>
    <w:rsid w:val="70F14DC3"/>
    <w:rsid w:val="71637B14"/>
    <w:rsid w:val="72273B95"/>
    <w:rsid w:val="735637C7"/>
    <w:rsid w:val="74C62724"/>
    <w:rsid w:val="75276457"/>
    <w:rsid w:val="763A3F76"/>
    <w:rsid w:val="76B61BCF"/>
    <w:rsid w:val="79B7197D"/>
    <w:rsid w:val="7E52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iPriority="99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unhideWhenUsed/>
    <w:qFormat/>
    <w:uiPriority w:val="9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4"/>
    <w:basedOn w:val="1"/>
    <w:next w:val="1"/>
    <w:unhideWhenUsed/>
    <w:qFormat/>
    <w:uiPriority w:val="9"/>
    <w:pPr>
      <w:keepNext/>
      <w:spacing w:before="240" w:after="60"/>
      <w:outlineLvl w:val="3"/>
    </w:pPr>
    <w:rPr>
      <w:b/>
      <w:sz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Body Text"/>
    <w:basedOn w:val="1"/>
    <w:link w:val="20"/>
    <w:unhideWhenUsed/>
    <w:qFormat/>
    <w:uiPriority w:val="99"/>
    <w:pPr>
      <w:spacing w:after="120"/>
    </w:pPr>
  </w:style>
  <w:style w:type="paragraph" w:styleId="9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Body Text Indent 3"/>
    <w:basedOn w:val="1"/>
    <w:link w:val="17"/>
    <w:unhideWhenUsed/>
    <w:qFormat/>
    <w:uiPriority w:val="99"/>
    <w:pPr>
      <w:spacing w:after="120" w:line="240" w:lineRule="auto"/>
      <w:ind w:left="283"/>
    </w:pPr>
    <w:rPr>
      <w:rFonts w:ascii="Arial" w:hAnsi="Arial" w:eastAsia="Times New Roman" w:cs="Times New Roman"/>
      <w:sz w:val="16"/>
      <w:szCs w:val="16"/>
      <w:lang w:eastAsia="pt-BR"/>
    </w:rPr>
  </w:style>
  <w:style w:type="paragraph" w:styleId="12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Cabeçalho Char"/>
    <w:basedOn w:val="5"/>
    <w:link w:val="9"/>
    <w:qFormat/>
    <w:uiPriority w:val="99"/>
  </w:style>
  <w:style w:type="character" w:customStyle="1" w:styleId="14">
    <w:name w:val="Rodapé Char"/>
    <w:basedOn w:val="5"/>
    <w:link w:val="10"/>
    <w:qFormat/>
    <w:uiPriority w:val="99"/>
  </w:style>
  <w:style w:type="character" w:customStyle="1" w:styleId="15">
    <w:name w:val="Texto de balão Char"/>
    <w:basedOn w:val="5"/>
    <w:link w:val="12"/>
    <w:semiHidden/>
    <w:qFormat/>
    <w:uiPriority w:val="99"/>
    <w:rPr>
      <w:rFonts w:ascii="Tahoma" w:hAnsi="Tahoma" w:cs="Tahoma"/>
      <w:sz w:val="16"/>
      <w:szCs w:val="16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Recuo de corpo de texto 3 Char"/>
    <w:basedOn w:val="5"/>
    <w:link w:val="11"/>
    <w:qFormat/>
    <w:uiPriority w:val="99"/>
    <w:rPr>
      <w:rFonts w:ascii="Arial" w:hAnsi="Arial" w:eastAsia="Times New Roman" w:cs="Times New Roman"/>
      <w:sz w:val="16"/>
      <w:szCs w:val="16"/>
      <w:lang w:eastAsia="pt-BR"/>
    </w:rPr>
  </w:style>
  <w:style w:type="paragraph" w:styleId="1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customStyle="1" w:styleId="1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pt-BR" w:eastAsia="pt-BR" w:bidi="ar-SA"/>
    </w:rPr>
  </w:style>
  <w:style w:type="character" w:customStyle="1" w:styleId="20">
    <w:name w:val="Corpo de texto Char"/>
    <w:basedOn w:val="5"/>
    <w:link w:val="8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1328</Words>
  <Characters>8244</Characters>
  <Lines>44</Lines>
  <Paragraphs>12</Paragraphs>
  <TotalTime>5506</TotalTime>
  <ScaleCrop>false</ScaleCrop>
  <LinksUpToDate>false</LinksUpToDate>
  <CharactersWithSpaces>9733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2025-03-05T14:57:00Z</dcterms:created>
  <dc:creator>Usuario</dc:creator>
  <cp:lastModifiedBy>WPS_1776263096</cp:lastModifiedBy>
  <cp:lastPrinted>2026-05-25T11:57:00Z</cp:lastPrinted>
  <dcterms:modified xsi:type="dcterms:W3CDTF">2026-05-25T16:03:12Z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C9C1200EEBB54754BDA07B36B2CB1770_13</vt:lpwstr>
  </property>
  <property fmtid="{D5CDD505-2E9C-101B-9397-08002B2CF9AE}" pid="4" name="KSOTemplateDocerSaveRecord">
    <vt:lpwstr>eyJoZGlkIjoiMzc1MzBmODMzMzU2OThlNzk0ZmFiMDNjNTRhYzNlZWYiLCJ1c2VySWQiOiIxMjM2OTUxMTE1ODcyIn0=</vt:lpwstr>
  </property>
</Properties>
</file>