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2EDA6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  <w:sz w:val="8"/>
          <w:szCs w:val="8"/>
        </w:rPr>
      </w:pPr>
    </w:p>
    <w:tbl>
      <w:tblPr>
        <w:tblStyle w:val="3"/>
        <w:tblW w:w="952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1"/>
        <w:gridCol w:w="1142"/>
        <w:gridCol w:w="6044"/>
      </w:tblGrid>
      <w:tr w14:paraId="6E2CC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Merge w:val="restart"/>
            <w:shd w:val="clear" w:color="auto" w:fill="F2F2F2"/>
          </w:tcPr>
          <w:p w14:paraId="71A0C042">
            <w:pPr>
              <w:widowControl w:val="0"/>
              <w:shd w:val="clear" w:color="auto" w:fill="F2F2F2"/>
              <w:tabs>
                <w:tab w:val="left" w:pos="1655"/>
              </w:tabs>
              <w:spacing w:before="120" w:after="0" w:line="240" w:lineRule="auto"/>
              <w:jc w:val="both"/>
              <w:rPr>
                <w:rFonts w:ascii="Palatino Linotype" w:hAnsi="Palatino Linotype" w:eastAsia="Arial Unicode MS" w:cstheme="minorHAnsi"/>
                <w:i/>
              </w:rPr>
            </w:pPr>
          </w:p>
          <w:p w14:paraId="176F6CA1">
            <w:pPr>
              <w:widowControl w:val="0"/>
              <w:shd w:val="clear" w:color="auto" w:fill="F2F2F2"/>
              <w:tabs>
                <w:tab w:val="left" w:pos="1655"/>
              </w:tabs>
              <w:spacing w:before="120" w:after="0" w:line="240" w:lineRule="auto"/>
              <w:jc w:val="both"/>
              <w:rPr>
                <w:rFonts w:ascii="Palatino Linotype" w:hAnsi="Palatino Linotype" w:eastAsia="Arial Unicode MS" w:cstheme="minorHAnsi"/>
                <w:i/>
              </w:rPr>
            </w:pPr>
          </w:p>
          <w:p w14:paraId="22EF6FEE">
            <w:pPr>
              <w:widowControl w:val="0"/>
              <w:shd w:val="clear" w:color="auto" w:fill="F2F2F2"/>
              <w:tabs>
                <w:tab w:val="left" w:pos="1655"/>
              </w:tabs>
              <w:spacing w:before="120" w:after="0" w:line="240" w:lineRule="auto"/>
              <w:jc w:val="center"/>
              <w:rPr>
                <w:rFonts w:ascii="Palatino Linotype" w:hAnsi="Palatino Linotype" w:eastAsia="Arial Unicode MS" w:cstheme="minorHAnsi"/>
                <w:b/>
                <w:u w:val="single"/>
              </w:rPr>
            </w:pPr>
            <w:r>
              <w:rPr>
                <w:rFonts w:ascii="Palatino Linotype" w:hAnsi="Palatino Linotype" w:eastAsia="Arial Unicode MS" w:cstheme="minorHAnsi"/>
                <w:b/>
                <w:u w:val="single"/>
              </w:rPr>
              <w:t>CONTRATO ADMINISTRATIVO</w:t>
            </w:r>
          </w:p>
          <w:p w14:paraId="3214A1A5">
            <w:pPr>
              <w:widowControl w:val="0"/>
              <w:shd w:val="clear" w:color="auto" w:fill="F2F2F2"/>
              <w:tabs>
                <w:tab w:val="left" w:pos="1655"/>
              </w:tabs>
              <w:spacing w:before="120" w:after="0" w:line="240" w:lineRule="auto"/>
              <w:jc w:val="center"/>
              <w:rPr>
                <w:rFonts w:hint="default" w:ascii="Palatino Linotype" w:hAnsi="Palatino Linotype" w:eastAsia="Arial Unicode MS" w:cstheme="minorHAnsi"/>
                <w:i/>
                <w:lang w:val="pt-BR"/>
              </w:rPr>
            </w:pPr>
            <w:r>
              <w:rPr>
                <w:rFonts w:ascii="Palatino Linotype" w:hAnsi="Palatino Linotype" w:eastAsia="Arial Unicode MS" w:cstheme="minorHAnsi"/>
                <w:b/>
                <w:u w:val="single"/>
              </w:rPr>
              <w:t xml:space="preserve">Nº </w:t>
            </w:r>
            <w:r>
              <w:rPr>
                <w:rFonts w:hint="default" w:ascii="Palatino Linotype" w:hAnsi="Palatino Linotype" w:eastAsia="Arial Unicode MS" w:cstheme="minorHAnsi"/>
                <w:b/>
                <w:u w:val="single"/>
                <w:lang w:val="pt-BR"/>
              </w:rPr>
              <w:t>01/2026</w:t>
            </w:r>
          </w:p>
        </w:tc>
        <w:tc>
          <w:tcPr>
            <w:tcW w:w="7186" w:type="dxa"/>
            <w:gridSpan w:val="2"/>
            <w:shd w:val="clear" w:color="auto" w:fill="F2F2F2"/>
          </w:tcPr>
          <w:p w14:paraId="3CF26FE0">
            <w:pPr>
              <w:widowControl w:val="0"/>
              <w:tabs>
                <w:tab w:val="left" w:pos="1655"/>
              </w:tabs>
              <w:spacing w:before="120" w:after="0" w:line="240" w:lineRule="auto"/>
              <w:jc w:val="center"/>
              <w:rPr>
                <w:rFonts w:ascii="Palatino Linotype" w:hAnsi="Palatino Linotype" w:eastAsia="Arial Unicode MS" w:cstheme="minorHAnsi"/>
                <w:b/>
              </w:rPr>
            </w:pPr>
            <w:r>
              <w:rPr>
                <w:rFonts w:ascii="Palatino Linotype" w:hAnsi="Palatino Linotype" w:eastAsia="Arial Unicode MS" w:cstheme="minorHAnsi"/>
                <w:b/>
              </w:rPr>
              <w:t>SÚMULA</w:t>
            </w:r>
          </w:p>
        </w:tc>
      </w:tr>
      <w:tr w14:paraId="2100E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Merge w:val="continue"/>
            <w:shd w:val="clear" w:color="auto" w:fill="F2F2F2"/>
          </w:tcPr>
          <w:p w14:paraId="3688DB4F">
            <w:pPr>
              <w:widowControl w:val="0"/>
              <w:spacing w:before="120" w:after="0" w:line="240" w:lineRule="auto"/>
              <w:jc w:val="both"/>
              <w:rPr>
                <w:rFonts w:ascii="Palatino Linotype" w:hAnsi="Palatino Linotype" w:eastAsia="Arial Unicode MS" w:cstheme="minorHAnsi"/>
              </w:rPr>
            </w:pPr>
          </w:p>
        </w:tc>
        <w:tc>
          <w:tcPr>
            <w:tcW w:w="1142" w:type="dxa"/>
            <w:shd w:val="clear" w:color="auto" w:fill="auto"/>
          </w:tcPr>
          <w:p w14:paraId="08849450">
            <w:pPr>
              <w:widowControl w:val="0"/>
              <w:spacing w:before="120" w:after="0" w:line="240" w:lineRule="auto"/>
              <w:rPr>
                <w:rFonts w:ascii="Palatino Linotype" w:hAnsi="Palatino Linotype" w:eastAsia="Arial Unicode MS" w:cstheme="minorHAnsi"/>
                <w:bCs/>
                <w:i/>
              </w:rPr>
            </w:pPr>
            <w:r>
              <w:rPr>
                <w:rFonts w:ascii="Palatino Linotype" w:hAnsi="Palatino Linotype" w:eastAsia="Arial Unicode MS" w:cstheme="minorHAnsi"/>
                <w:bCs/>
                <w:i/>
              </w:rPr>
              <w:t>Origem:</w:t>
            </w:r>
          </w:p>
        </w:tc>
        <w:tc>
          <w:tcPr>
            <w:tcW w:w="6044" w:type="dxa"/>
            <w:shd w:val="clear" w:color="auto" w:fill="auto"/>
          </w:tcPr>
          <w:p w14:paraId="5C65DAA5">
            <w:pPr>
              <w:widowControl w:val="0"/>
              <w:spacing w:before="120" w:after="0" w:line="240" w:lineRule="auto"/>
              <w:jc w:val="both"/>
              <w:rPr>
                <w:rFonts w:ascii="Palatino Linotype" w:hAnsi="Palatino Linotype" w:eastAsia="Arial Unicode MS" w:cstheme="minorHAnsi"/>
                <w:bCs/>
                <w:i/>
              </w:rPr>
            </w:pPr>
            <w:r>
              <w:rPr>
                <w:rFonts w:ascii="Palatino Linotype" w:hAnsi="Palatino Linotype" w:eastAsia="Arial Unicode MS" w:cstheme="minorHAnsi"/>
                <w:bCs/>
                <w:i/>
              </w:rPr>
              <w:t xml:space="preserve">DISPENSA DE LICITAÇÃO Nº </w:t>
            </w:r>
            <w:r>
              <w:rPr>
                <w:rFonts w:hint="default" w:ascii="Palatino Linotype" w:hAnsi="Palatino Linotype" w:eastAsia="Arial Unicode MS" w:cstheme="minorHAnsi"/>
                <w:bCs/>
                <w:i/>
                <w:lang w:val="pt-BR"/>
              </w:rPr>
              <w:t>05</w:t>
            </w:r>
            <w:r>
              <w:rPr>
                <w:rFonts w:ascii="Palatino Linotype" w:hAnsi="Palatino Linotype" w:eastAsia="Arial Unicode MS" w:cstheme="minorHAnsi"/>
                <w:bCs/>
                <w:i/>
              </w:rPr>
              <w:t>/</w:t>
            </w:r>
            <w:r>
              <w:rPr>
                <w:rFonts w:hint="default" w:ascii="Palatino Linotype" w:hAnsi="Palatino Linotype" w:eastAsia="Arial Unicode MS" w:cstheme="minorHAnsi"/>
                <w:bCs/>
                <w:i/>
                <w:lang w:val="pt-BR"/>
              </w:rPr>
              <w:t>2026</w:t>
            </w:r>
            <w:r>
              <w:rPr>
                <w:rFonts w:ascii="Palatino Linotype" w:hAnsi="Palatino Linotype" w:eastAsia="Arial Unicode MS" w:cstheme="minorHAnsi"/>
                <w:bCs/>
                <w:i/>
              </w:rPr>
              <w:t>.</w:t>
            </w:r>
          </w:p>
        </w:tc>
      </w:tr>
      <w:tr w14:paraId="2D77A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Merge w:val="continue"/>
            <w:shd w:val="clear" w:color="auto" w:fill="F2F2F2"/>
          </w:tcPr>
          <w:p w14:paraId="43447553">
            <w:pPr>
              <w:widowControl w:val="0"/>
              <w:spacing w:before="120" w:after="0" w:line="240" w:lineRule="auto"/>
              <w:jc w:val="both"/>
              <w:rPr>
                <w:rFonts w:ascii="Palatino Linotype" w:hAnsi="Palatino Linotype" w:eastAsia="Arial Unicode MS" w:cstheme="minorHAnsi"/>
              </w:rPr>
            </w:pPr>
          </w:p>
        </w:tc>
        <w:tc>
          <w:tcPr>
            <w:tcW w:w="1142" w:type="dxa"/>
            <w:shd w:val="clear" w:color="auto" w:fill="auto"/>
          </w:tcPr>
          <w:p w14:paraId="5CBE1278">
            <w:pPr>
              <w:widowControl w:val="0"/>
              <w:spacing w:before="120" w:after="0" w:line="240" w:lineRule="auto"/>
              <w:rPr>
                <w:rFonts w:ascii="Palatino Linotype" w:hAnsi="Palatino Linotype" w:eastAsia="Arial Unicode MS" w:cstheme="minorHAnsi"/>
                <w:bCs/>
                <w:i/>
              </w:rPr>
            </w:pPr>
            <w:r>
              <w:rPr>
                <w:rFonts w:ascii="Palatino Linotype" w:hAnsi="Palatino Linotype" w:eastAsia="Arial Unicode MS" w:cstheme="minorHAnsi"/>
                <w:bCs/>
                <w:i/>
              </w:rPr>
              <w:t>Objeto:</w:t>
            </w:r>
          </w:p>
        </w:tc>
        <w:tc>
          <w:tcPr>
            <w:tcW w:w="6044" w:type="dxa"/>
            <w:shd w:val="clear" w:color="auto" w:fill="auto"/>
          </w:tcPr>
          <w:p w14:paraId="5EA4BEAC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Palatino Linotype" w:hAnsi="Palatino Linotype" w:eastAsia="Arial Unicode MS" w:cstheme="minorHAnsi"/>
                <w:bCs/>
                <w:i/>
                <w:iCs/>
              </w:rPr>
            </w:pPr>
            <w:r>
              <w:rPr>
                <w:rFonts w:hint="default" w:ascii="Palatino Linotype" w:hAnsi="Palatino Linotype"/>
                <w:i/>
                <w:iCs w:val="0"/>
              </w:rPr>
              <w:t>Contratação de empresa especializada para execução dos serviços de ampliação do prédio da Câmara, visando à adequação das instalações físicas às demandas institucionais e à melhoria das condições operacionais no âmbito do órgão legislativo.</w:t>
            </w:r>
          </w:p>
        </w:tc>
      </w:tr>
      <w:tr w14:paraId="0A0D0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Merge w:val="continue"/>
            <w:shd w:val="clear" w:color="auto" w:fill="F2F2F2"/>
          </w:tcPr>
          <w:p w14:paraId="24BA4DB9">
            <w:pPr>
              <w:widowControl w:val="0"/>
              <w:spacing w:before="120" w:after="0" w:line="240" w:lineRule="auto"/>
              <w:jc w:val="both"/>
              <w:rPr>
                <w:rFonts w:ascii="Palatino Linotype" w:hAnsi="Palatino Linotype" w:eastAsia="Arial Unicode MS" w:cstheme="minorHAnsi"/>
              </w:rPr>
            </w:pPr>
          </w:p>
        </w:tc>
        <w:tc>
          <w:tcPr>
            <w:tcW w:w="1142" w:type="dxa"/>
            <w:shd w:val="clear" w:color="auto" w:fill="auto"/>
          </w:tcPr>
          <w:p w14:paraId="1BB86697">
            <w:pPr>
              <w:widowControl w:val="0"/>
              <w:spacing w:before="120" w:after="0" w:line="240" w:lineRule="auto"/>
              <w:rPr>
                <w:rFonts w:hint="default" w:ascii="Palatino Linotype" w:hAnsi="Palatino Linotype" w:eastAsia="Arial Unicode MS" w:cstheme="minorHAnsi"/>
                <w:bCs/>
                <w:i/>
                <w:lang w:val="pt-BR"/>
              </w:rPr>
            </w:pPr>
            <w:r>
              <w:rPr>
                <w:rFonts w:ascii="Palatino Linotype" w:hAnsi="Palatino Linotype" w:eastAsia="Arial Unicode MS" w:cstheme="minorHAnsi"/>
                <w:bCs/>
                <w:i/>
              </w:rPr>
              <w:t>Valor</w:t>
            </w:r>
            <w:r>
              <w:rPr>
                <w:rFonts w:hint="default" w:ascii="Palatino Linotype" w:hAnsi="Palatino Linotype" w:eastAsia="Arial Unicode MS" w:cstheme="minorHAnsi"/>
                <w:bCs/>
                <w:i/>
                <w:lang w:val="pt-BR"/>
              </w:rPr>
              <w:t>:</w:t>
            </w:r>
          </w:p>
        </w:tc>
        <w:tc>
          <w:tcPr>
            <w:tcW w:w="6044" w:type="dxa"/>
            <w:shd w:val="clear" w:color="auto" w:fill="auto"/>
          </w:tcPr>
          <w:p w14:paraId="2943EB04">
            <w:pPr>
              <w:widowControl w:val="0"/>
              <w:spacing w:before="120" w:after="0" w:line="240" w:lineRule="auto"/>
              <w:jc w:val="both"/>
              <w:rPr>
                <w:rFonts w:ascii="Palatino Linotype" w:hAnsi="Palatino Linotype" w:eastAsia="Arial Unicode MS" w:cstheme="minorHAnsi"/>
                <w:bCs/>
                <w:i/>
              </w:rPr>
            </w:pPr>
            <w:r>
              <w:rPr>
                <w:rFonts w:ascii="Palatino Linotype" w:hAnsi="Palatino Linotype" w:eastAsia="Arial Unicode MS" w:cstheme="minorHAnsi"/>
                <w:bCs/>
                <w:i/>
              </w:rPr>
              <w:t>R$</w:t>
            </w:r>
            <w:r>
              <w:rPr>
                <w:rFonts w:hint="default" w:ascii="Palatino Linotype" w:hAnsi="Palatino Linotype" w:eastAsia="Arial Unicode MS" w:cstheme="minorHAnsi"/>
                <w:bCs/>
                <w:i/>
                <w:lang w:val="pt-BR"/>
              </w:rPr>
              <w:t xml:space="preserve"> 147.759,54 (Cento e quarenta e sete mil, setecentos e cinquenta e nove reais e cinquenta e quatro centavos)</w:t>
            </w:r>
          </w:p>
        </w:tc>
      </w:tr>
      <w:tr w14:paraId="67208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Merge w:val="continue"/>
            <w:shd w:val="clear" w:color="auto" w:fill="F2F2F2"/>
          </w:tcPr>
          <w:p w14:paraId="24EAAE6E">
            <w:pPr>
              <w:widowControl w:val="0"/>
              <w:spacing w:before="120" w:after="0" w:line="240" w:lineRule="auto"/>
              <w:jc w:val="both"/>
              <w:rPr>
                <w:rFonts w:ascii="Palatino Linotype" w:hAnsi="Palatino Linotype" w:eastAsia="Arial Unicode MS" w:cstheme="minorHAnsi"/>
              </w:rPr>
            </w:pPr>
          </w:p>
        </w:tc>
        <w:tc>
          <w:tcPr>
            <w:tcW w:w="1142" w:type="dxa"/>
            <w:shd w:val="clear" w:color="auto" w:fill="auto"/>
          </w:tcPr>
          <w:p w14:paraId="711979A0">
            <w:pPr>
              <w:widowControl w:val="0"/>
              <w:spacing w:before="120" w:after="0" w:line="240" w:lineRule="auto"/>
              <w:rPr>
                <w:rFonts w:ascii="Palatino Linotype" w:hAnsi="Palatino Linotype" w:eastAsia="Arial Unicode MS" w:cstheme="minorHAnsi"/>
                <w:bCs/>
                <w:i/>
              </w:rPr>
            </w:pPr>
            <w:r>
              <w:rPr>
                <w:rFonts w:ascii="Palatino Linotype" w:hAnsi="Palatino Linotype" w:eastAsia="Arial Unicode MS" w:cstheme="minorHAnsi"/>
                <w:bCs/>
                <w:i/>
              </w:rPr>
              <w:t>Vigênci</w:t>
            </w:r>
            <w:r>
              <w:rPr>
                <w:rFonts w:hint="default" w:ascii="Palatino Linotype" w:hAnsi="Palatino Linotype" w:eastAsia="Arial Unicode MS" w:cstheme="minorHAnsi"/>
                <w:bCs/>
                <w:i/>
                <w:lang w:val="pt-BR"/>
              </w:rPr>
              <w:t>a</w:t>
            </w:r>
            <w:r>
              <w:rPr>
                <w:rFonts w:ascii="Palatino Linotype" w:hAnsi="Palatino Linotype" w:eastAsia="Arial Unicode MS" w:cstheme="minorHAnsi"/>
                <w:bCs/>
                <w:i/>
              </w:rPr>
              <w:t>:</w:t>
            </w:r>
          </w:p>
        </w:tc>
        <w:tc>
          <w:tcPr>
            <w:tcW w:w="6044" w:type="dxa"/>
            <w:shd w:val="clear" w:color="auto" w:fill="auto"/>
          </w:tcPr>
          <w:p w14:paraId="7692C795">
            <w:pPr>
              <w:widowControl w:val="0"/>
              <w:spacing w:before="120" w:after="0" w:line="240" w:lineRule="auto"/>
              <w:jc w:val="both"/>
              <w:rPr>
                <w:rFonts w:ascii="Palatino Linotype" w:hAnsi="Palatino Linotype" w:eastAsia="Arial Unicode MS" w:cstheme="minorHAnsi"/>
                <w:bCs/>
                <w:i/>
              </w:rPr>
            </w:pPr>
            <w:r>
              <w:rPr>
                <w:rFonts w:hint="default" w:ascii="Palatino Linotype" w:hAnsi="Palatino Linotype" w:eastAsia="Arial Unicode MS" w:cstheme="minorHAnsi"/>
                <w:bCs/>
                <w:i/>
                <w:lang w:val="pt-BR"/>
              </w:rPr>
              <w:t>07</w:t>
            </w:r>
            <w:r>
              <w:rPr>
                <w:rFonts w:ascii="Palatino Linotype" w:hAnsi="Palatino Linotype" w:eastAsia="Arial Unicode MS" w:cstheme="minorHAnsi"/>
                <w:bCs/>
                <w:i/>
              </w:rPr>
              <w:t xml:space="preserve"> (</w:t>
            </w:r>
            <w:r>
              <w:rPr>
                <w:rFonts w:hint="default" w:ascii="Palatino Linotype" w:hAnsi="Palatino Linotype" w:eastAsia="Arial Unicode MS" w:cstheme="minorHAnsi"/>
                <w:bCs/>
                <w:i/>
                <w:lang w:val="pt-BR"/>
              </w:rPr>
              <w:t>sete</w:t>
            </w:r>
            <w:r>
              <w:rPr>
                <w:rFonts w:ascii="Palatino Linotype" w:hAnsi="Palatino Linotype" w:eastAsia="Arial Unicode MS" w:cstheme="minorHAnsi"/>
                <w:bCs/>
                <w:i/>
              </w:rPr>
              <w:t xml:space="preserve">) </w:t>
            </w:r>
            <w:r>
              <w:rPr>
                <w:rFonts w:hint="default" w:ascii="Palatino Linotype" w:hAnsi="Palatino Linotype" w:eastAsia="Arial Unicode MS" w:cstheme="minorHAnsi"/>
                <w:bCs/>
                <w:i/>
                <w:lang w:val="pt-BR"/>
              </w:rPr>
              <w:t>Meses</w:t>
            </w:r>
            <w:r>
              <w:rPr>
                <w:rFonts w:ascii="Palatino Linotype" w:hAnsi="Palatino Linotype" w:eastAsia="Arial Unicode MS" w:cstheme="minorHAnsi"/>
                <w:bCs/>
                <w:i/>
              </w:rPr>
              <w:t>, a contar d</w:t>
            </w:r>
            <w:r>
              <w:rPr>
                <w:rFonts w:hint="default" w:ascii="Palatino Linotype" w:hAnsi="Palatino Linotype" w:eastAsia="Arial Unicode MS" w:cstheme="minorHAnsi"/>
                <w:bCs/>
                <w:i/>
                <w:lang w:val="pt-BR"/>
              </w:rPr>
              <w:t>a assinatura do contrato</w:t>
            </w:r>
            <w:r>
              <w:rPr>
                <w:rFonts w:ascii="Palatino Linotype" w:hAnsi="Palatino Linotype" w:eastAsia="Arial Unicode MS" w:cstheme="minorHAnsi"/>
                <w:bCs/>
                <w:i/>
              </w:rPr>
              <w:t>.</w:t>
            </w:r>
          </w:p>
        </w:tc>
      </w:tr>
    </w:tbl>
    <w:p w14:paraId="404943CE">
      <w:pPr>
        <w:widowControl w:val="0"/>
        <w:spacing w:before="120" w:after="0" w:line="240" w:lineRule="auto"/>
        <w:rPr>
          <w:rFonts w:ascii="Palatino Linotype" w:hAnsi="Palatino Linotype" w:eastAsia="Arial Unicode MS" w:cstheme="minorHAnsi"/>
        </w:rPr>
      </w:pPr>
    </w:p>
    <w:p w14:paraId="1AE3DAF7">
      <w:pPr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2F2F2"/>
        <w:spacing w:before="120" w:after="0" w:line="240" w:lineRule="auto"/>
        <w:ind w:right="-86"/>
        <w:jc w:val="center"/>
        <w:rPr>
          <w:rFonts w:ascii="Palatino Linotype" w:hAnsi="Palatino Linotype" w:cstheme="minorHAnsi"/>
          <w:b/>
        </w:rPr>
      </w:pPr>
      <w:r>
        <w:rPr>
          <w:rFonts w:ascii="Palatino Linotype" w:hAnsi="Palatino Linotype" w:cstheme="minorHAnsi"/>
          <w:b/>
        </w:rPr>
        <w:t>PREÂMBULO - DA QUALIFICAÇÃO DAS PARTES</w:t>
      </w:r>
    </w:p>
    <w:p w14:paraId="742F21F7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A CÂMARA MUNICIPAL DE FIGUEIRÓPOLIS D’OESTE – MATO GROSSO, Pessoa Jurídica de Direito Público Interno, com sede administrativa na Rua Rio Grande do Sul, nº 142, Centro, Figueirópolis D’Oeste – MT, CEP. 78.290-000, inscrita no CNPJ /MF sob o n° CNPJ n°. 01.367.804/0001-96, neste ato representada pelo seu Presidente. Sr.</w:t>
      </w:r>
      <w:r>
        <w:rPr>
          <w:rFonts w:hint="default" w:ascii="Palatino Linotype" w:hAnsi="Palatino Linotype" w:cs="Courier"/>
          <w:lang w:val="pt-BR"/>
        </w:rPr>
        <w:t xml:space="preserve"> </w:t>
      </w:r>
      <w:r>
        <w:rPr>
          <w:rFonts w:hint="default" w:ascii="Palatino Linotype" w:hAnsi="Palatino Linotype"/>
        </w:rPr>
        <w:t>Anisio Aparecido Peres</w:t>
      </w:r>
      <w:r>
        <w:rPr>
          <w:rFonts w:ascii="Palatino Linotype" w:hAnsi="Palatino Linotype" w:cs="Courier"/>
        </w:rPr>
        <w:t xml:space="preserve"> , brasileiro, </w:t>
      </w:r>
      <w:r>
        <w:rPr>
          <w:rFonts w:hint="default" w:ascii="Palatino Linotype" w:hAnsi="Palatino Linotype" w:cs="Courier"/>
          <w:lang w:val="pt-BR"/>
        </w:rPr>
        <w:t>Casado</w:t>
      </w:r>
      <w:r>
        <w:rPr>
          <w:rFonts w:ascii="Palatino Linotype" w:hAnsi="Palatino Linotype" w:cs="Courier"/>
        </w:rPr>
        <w:t xml:space="preserve">, </w:t>
      </w:r>
      <w:r>
        <w:rPr>
          <w:rFonts w:hint="default" w:ascii="Palatino Linotype" w:hAnsi="Palatino Linotype" w:cs="Courier"/>
          <w:lang w:val="pt-BR"/>
        </w:rPr>
        <w:t>residente nesse município</w:t>
      </w:r>
      <w:r>
        <w:rPr>
          <w:rFonts w:ascii="Palatino Linotype" w:hAnsi="Palatino Linotype" w:cs="Courier"/>
        </w:rPr>
        <w:t xml:space="preserve">, doravante denominada simplesmente de CONTRATANTE, e a empresa </w:t>
      </w:r>
      <w:r>
        <w:rPr>
          <w:rFonts w:hint="default" w:ascii="Palatino Linotype" w:hAnsi="Palatino Linotype"/>
          <w:lang w:val="pt-BR"/>
        </w:rPr>
        <w:t>Construtora Cardoso LTDA</w:t>
      </w:r>
      <w:r>
        <w:rPr>
          <w:rFonts w:ascii="Palatino Linotype" w:hAnsi="Palatino Linotype" w:cs="Courier New"/>
        </w:rPr>
        <w:t xml:space="preserve">, com nome fantasia de </w:t>
      </w:r>
      <w:r>
        <w:rPr>
          <w:rFonts w:hint="default" w:ascii="Palatino Linotype" w:hAnsi="Palatino Linotype"/>
        </w:rPr>
        <w:t xml:space="preserve"> </w:t>
      </w:r>
      <w:r>
        <w:rPr>
          <w:rFonts w:hint="default" w:ascii="Palatino Linotype" w:hAnsi="Palatino Linotype"/>
          <w:lang w:val="pt-BR"/>
        </w:rPr>
        <w:t>Construtora Cardoso,</w:t>
      </w:r>
      <w:r>
        <w:rPr>
          <w:rFonts w:hint="default" w:ascii="Palatino Linotype" w:hAnsi="Palatino Linotype"/>
        </w:rPr>
        <w:t xml:space="preserve"> </w:t>
      </w:r>
      <w:r>
        <w:rPr>
          <w:rFonts w:ascii="Palatino Linotype" w:hAnsi="Palatino Linotype" w:cs="Courier New"/>
        </w:rPr>
        <w:t xml:space="preserve"> pessoa jurídica de direito privado, inscrita no </w:t>
      </w:r>
      <w:r>
        <w:rPr>
          <w:rFonts w:ascii="Palatino Linotype" w:hAnsi="Palatino Linotype" w:eastAsia="Batang" w:cs="Courier New"/>
        </w:rPr>
        <w:t xml:space="preserve">CNPJ/MF nº </w:t>
      </w:r>
      <w:r>
        <w:rPr>
          <w:rFonts w:hint="default" w:ascii="Palatino Linotype" w:hAnsi="Palatino Linotype" w:eastAsia="Batang"/>
        </w:rPr>
        <w:t xml:space="preserve"> </w:t>
      </w:r>
      <w:r>
        <w:rPr>
          <w:rFonts w:hint="default" w:ascii="Palatino Linotype" w:hAnsi="Palatino Linotype" w:eastAsia="Batang"/>
          <w:lang w:val="pt-BR"/>
        </w:rPr>
        <w:t>27.862.223/0001-14</w:t>
      </w:r>
      <w:r>
        <w:rPr>
          <w:rFonts w:ascii="Palatino Linotype" w:hAnsi="Palatino Linotype" w:cs="Courier New"/>
        </w:rPr>
        <w:t xml:space="preserve">, </w:t>
      </w:r>
      <w:r>
        <w:rPr>
          <w:rFonts w:ascii="Palatino Linotype" w:hAnsi="Palatino Linotype" w:eastAsia="Batang" w:cs="Courier New"/>
        </w:rPr>
        <w:t xml:space="preserve">sediada na </w:t>
      </w:r>
      <w:r>
        <w:rPr>
          <w:rFonts w:hint="default" w:ascii="Palatino Linotype" w:hAnsi="Palatino Linotype" w:eastAsia="Batang"/>
        </w:rPr>
        <w:t xml:space="preserve"> Rua </w:t>
      </w:r>
      <w:r>
        <w:rPr>
          <w:rFonts w:hint="default" w:ascii="Palatino Linotype" w:hAnsi="Palatino Linotype" w:eastAsia="Batang"/>
          <w:lang w:val="pt-BR"/>
        </w:rPr>
        <w:t>Rua Mato Grosso, S/N</w:t>
      </w:r>
      <w:r>
        <w:rPr>
          <w:rFonts w:ascii="Palatino Linotype" w:hAnsi="Palatino Linotype" w:eastAsia="Batang" w:cs="Courier New"/>
        </w:rPr>
        <w:t xml:space="preserve"> Bairro </w:t>
      </w:r>
      <w:r>
        <w:rPr>
          <w:rFonts w:hint="default" w:ascii="Palatino Linotype" w:hAnsi="Palatino Linotype" w:eastAsia="Batang" w:cs="Courier New"/>
        </w:rPr>
        <w:t>Centro</w:t>
      </w:r>
      <w:r>
        <w:rPr>
          <w:rFonts w:ascii="Palatino Linotype" w:hAnsi="Palatino Linotype" w:eastAsia="Batang" w:cs="Courier New"/>
        </w:rPr>
        <w:t>,</w:t>
      </w:r>
      <w:r>
        <w:rPr>
          <w:rFonts w:hint="default" w:ascii="Palatino Linotype" w:hAnsi="Palatino Linotype" w:eastAsia="Batang" w:cs="Courier New"/>
          <w:lang w:val="pt-BR"/>
        </w:rPr>
        <w:t xml:space="preserve"> cidade de Indiavaí,</w:t>
      </w:r>
      <w:bookmarkStart w:id="0" w:name="_GoBack"/>
      <w:bookmarkEnd w:id="0"/>
      <w:r>
        <w:rPr>
          <w:rFonts w:ascii="Palatino Linotype" w:hAnsi="Palatino Linotype" w:eastAsia="Batang" w:cs="Courier New"/>
        </w:rPr>
        <w:t xml:space="preserve">  CEP. </w:t>
      </w:r>
      <w:r>
        <w:rPr>
          <w:rFonts w:hint="default" w:ascii="Palatino Linotype" w:hAnsi="Palatino Linotype" w:eastAsia="Batang"/>
        </w:rPr>
        <w:t xml:space="preserve"> </w:t>
      </w:r>
      <w:r>
        <w:rPr>
          <w:rFonts w:hint="default" w:ascii="Palatino Linotype" w:hAnsi="Palatino Linotype" w:eastAsia="Batang"/>
          <w:lang w:val="pt-BR"/>
        </w:rPr>
        <w:t>78295-000</w:t>
      </w:r>
      <w:r>
        <w:rPr>
          <w:rFonts w:hint="default" w:ascii="Palatino Linotype" w:hAnsi="Palatino Linotype" w:eastAsia="Batang"/>
        </w:rPr>
        <w:t xml:space="preserve"> </w:t>
      </w:r>
      <w:r>
        <w:rPr>
          <w:rFonts w:ascii="Palatino Linotype" w:hAnsi="Palatino Linotype" w:eastAsia="Batang" w:cs="Courier New"/>
        </w:rPr>
        <w:t xml:space="preserve">, e-mail </w:t>
      </w:r>
      <w:r>
        <w:rPr>
          <w:rFonts w:hint="default" w:ascii="Palatino Linotype" w:hAnsi="Palatino Linotype" w:eastAsia="Batang"/>
        </w:rPr>
        <w:t xml:space="preserve"> </w:t>
      </w:r>
      <w:r>
        <w:rPr>
          <w:rFonts w:hint="default" w:ascii="Palatino Linotype" w:hAnsi="Palatino Linotype" w:eastAsia="Batang"/>
          <w:lang w:val="pt-BR"/>
        </w:rPr>
        <w:t>(65) 3251-1885</w:t>
      </w:r>
      <w:r>
        <w:rPr>
          <w:rFonts w:hint="default" w:ascii="Palatino Linotype" w:hAnsi="Palatino Linotype" w:eastAsia="Batang"/>
        </w:rPr>
        <w:t xml:space="preserve"> </w:t>
      </w:r>
      <w:r>
        <w:rPr>
          <w:rFonts w:ascii="Palatino Linotype" w:hAnsi="Palatino Linotype" w:eastAsia="Batang" w:cs="Courier New"/>
        </w:rPr>
        <w:t xml:space="preserve"> telefone</w:t>
      </w:r>
      <w:r>
        <w:rPr>
          <w:rFonts w:hint="default" w:ascii="Palatino Linotype" w:hAnsi="Palatino Linotype" w:eastAsia="Batang" w:cs="Courier New"/>
          <w:lang w:val="pt-BR"/>
        </w:rPr>
        <w:t xml:space="preserve"> (65) 3251-1885</w:t>
      </w:r>
      <w:r>
        <w:rPr>
          <w:rFonts w:ascii="Palatino Linotype" w:hAnsi="Palatino Linotype" w:eastAsia="Batang" w:cs="Courier New"/>
        </w:rPr>
        <w:t xml:space="preserve"> celular </w:t>
      </w:r>
      <w:r>
        <w:rPr>
          <w:rFonts w:hint="default" w:ascii="Palatino Linotype" w:hAnsi="Palatino Linotype" w:eastAsia="Batang"/>
        </w:rPr>
        <w:t xml:space="preserve"> 65 </w:t>
      </w:r>
      <w:r>
        <w:rPr>
          <w:rFonts w:hint="default" w:ascii="Palatino Linotype" w:hAnsi="Palatino Linotype" w:eastAsia="Batang"/>
          <w:lang w:val="pt-BR"/>
        </w:rPr>
        <w:t>9</w:t>
      </w:r>
      <w:r>
        <w:rPr>
          <w:rFonts w:hint="default" w:ascii="Palatino Linotype" w:hAnsi="Palatino Linotype" w:eastAsia="Batang"/>
        </w:rPr>
        <w:t>8417-1175</w:t>
      </w:r>
      <w:r>
        <w:rPr>
          <w:rFonts w:ascii="Palatino Linotype" w:hAnsi="Palatino Linotype" w:eastAsia="Batang" w:cs="Courier New"/>
        </w:rPr>
        <w:t xml:space="preserve">, nesse ato representada pelo seu </w:t>
      </w:r>
      <w:r>
        <w:rPr>
          <w:rFonts w:hint="default" w:ascii="Palatino Linotype" w:hAnsi="Palatino Linotype" w:eastAsia="Batang" w:cs="Courier New"/>
          <w:lang w:val="pt-BR"/>
        </w:rPr>
        <w:t>representante legal Sr. Seni Pontes da Conceição</w:t>
      </w:r>
      <w:r>
        <w:rPr>
          <w:rFonts w:ascii="Palatino Linotype" w:hAnsi="Palatino Linotype" w:cs="Courier"/>
        </w:rPr>
        <w:t>, doravante denominada simplesmente de CONTRATADA, resolvem celebrar o presente contrato originado do Processo de Dispensa n° 0</w:t>
      </w:r>
      <w:r>
        <w:rPr>
          <w:rFonts w:hint="default" w:ascii="Palatino Linotype" w:hAnsi="Palatino Linotype" w:cs="Courier"/>
          <w:lang w:val="pt-BR"/>
        </w:rPr>
        <w:t>5</w:t>
      </w:r>
      <w:r>
        <w:rPr>
          <w:rFonts w:ascii="Palatino Linotype" w:hAnsi="Palatino Linotype" w:cs="Courier"/>
        </w:rPr>
        <w:t>/202</w:t>
      </w:r>
      <w:r>
        <w:rPr>
          <w:rFonts w:hint="default" w:ascii="Palatino Linotype" w:hAnsi="Palatino Linotype" w:cs="Courier"/>
          <w:lang w:val="pt-BR"/>
        </w:rPr>
        <w:t>6</w:t>
      </w:r>
      <w:r>
        <w:rPr>
          <w:rFonts w:ascii="Palatino Linotype" w:hAnsi="Palatino Linotype" w:cs="Courier"/>
        </w:rPr>
        <w:t>, mediante as cláusulas e condições a seguir estabelecidas.</w:t>
      </w:r>
    </w:p>
    <w:p w14:paraId="60866ADE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</w:p>
    <w:p w14:paraId="51D9039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autoSpaceDE w:val="0"/>
        <w:autoSpaceDN w:val="0"/>
        <w:adjustRightInd w:val="0"/>
        <w:spacing w:before="120" w:after="0" w:line="240" w:lineRule="auto"/>
        <w:jc w:val="center"/>
        <w:rPr>
          <w:rFonts w:ascii="Palatino Linotype" w:hAnsi="Palatino Linotype" w:cs="Courier"/>
          <w:b/>
          <w:bCs/>
        </w:rPr>
      </w:pPr>
      <w:r>
        <w:rPr>
          <w:rFonts w:ascii="Palatino Linotype" w:hAnsi="Palatino Linotype" w:cs="Courier"/>
          <w:b/>
          <w:bCs/>
        </w:rPr>
        <w:t xml:space="preserve">1. </w:t>
      </w:r>
      <w:r>
        <w:rPr>
          <w:rFonts w:ascii="Palatino Linotype" w:hAnsi="Palatino Linotype" w:cs="Courier"/>
          <w:b/>
          <w:bCs/>
          <w:lang w:val="pt-BR"/>
        </w:rPr>
        <w:t>CLAUSULA</w:t>
      </w:r>
      <w:r>
        <w:rPr>
          <w:rFonts w:ascii="Palatino Linotype" w:hAnsi="Palatino Linotype" w:cs="Courier"/>
          <w:b/>
          <w:bCs/>
        </w:rPr>
        <w:t xml:space="preserve"> PRIMEIRA - DO OBJETO, FINALIDADE E VINCULAÇÃO</w:t>
      </w:r>
    </w:p>
    <w:p w14:paraId="1E5C457C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 xml:space="preserve">1.1. </w:t>
      </w:r>
      <w:r>
        <w:rPr>
          <w:rFonts w:hint="default" w:ascii="Palatino Linotype" w:hAnsi="Palatino Linotype" w:cs="Courier"/>
        </w:rPr>
        <w:t>Contratação de empresa especializada para execução dos serviços de ampliação do prédio da Câmara, visando à adequação das instalações físicas às demandas institucionais e à melhoria das condições operacionais no âmbito do órgão legislativo.</w:t>
      </w:r>
      <w:r>
        <w:rPr>
          <w:rFonts w:ascii="Palatino Linotype" w:hAnsi="Palatino Linotype" w:cs="Courier"/>
        </w:rPr>
        <w:t xml:space="preserve"> </w:t>
      </w:r>
    </w:p>
    <w:tbl>
      <w:tblPr>
        <w:tblStyle w:val="23"/>
        <w:tblpPr w:leftFromText="180" w:rightFromText="180" w:vertAnchor="text" w:horzAnchor="page" w:tblpX="1274" w:tblpY="1059"/>
        <w:tblOverlap w:val="never"/>
        <w:tblW w:w="96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5036"/>
        <w:gridCol w:w="851"/>
        <w:gridCol w:w="992"/>
        <w:gridCol w:w="1730"/>
      </w:tblGrid>
      <w:tr w14:paraId="24359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993" w:type="dxa"/>
            <w:shd w:val="clear" w:color="auto" w:fill="BEBEBE" w:themeFill="background1" w:themeFillShade="BF"/>
            <w:vAlign w:val="center"/>
          </w:tcPr>
          <w:p w14:paraId="5DE45E3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5036" w:type="dxa"/>
            <w:shd w:val="clear" w:color="auto" w:fill="BEBEBE" w:themeFill="background1" w:themeFillShade="BF"/>
            <w:vAlign w:val="center"/>
          </w:tcPr>
          <w:p w14:paraId="71ADED0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851" w:type="dxa"/>
            <w:shd w:val="clear" w:color="auto" w:fill="BEBEBE" w:themeFill="background1" w:themeFillShade="BF"/>
            <w:vAlign w:val="center"/>
          </w:tcPr>
          <w:p w14:paraId="1B650D3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UNID</w:t>
            </w:r>
          </w:p>
        </w:tc>
        <w:tc>
          <w:tcPr>
            <w:tcW w:w="992" w:type="dxa"/>
            <w:shd w:val="clear" w:color="auto" w:fill="BEBEBE" w:themeFill="background1" w:themeFillShade="BF"/>
            <w:vAlign w:val="center"/>
          </w:tcPr>
          <w:p w14:paraId="56D2C55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QUANT</w:t>
            </w:r>
          </w:p>
        </w:tc>
        <w:tc>
          <w:tcPr>
            <w:tcW w:w="1730" w:type="dxa"/>
            <w:shd w:val="clear" w:color="auto" w:fill="BEBEBE" w:themeFill="background1" w:themeFillShade="BF"/>
          </w:tcPr>
          <w:p w14:paraId="2FF4B1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Valor </w:t>
            </w:r>
          </w:p>
        </w:tc>
      </w:tr>
      <w:tr w14:paraId="33651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993" w:type="dxa"/>
            <w:vAlign w:val="center"/>
          </w:tcPr>
          <w:p w14:paraId="7D6ED2F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1</w:t>
            </w:r>
          </w:p>
        </w:tc>
        <w:tc>
          <w:tcPr>
            <w:tcW w:w="5036" w:type="dxa"/>
            <w:vAlign w:val="center"/>
          </w:tcPr>
          <w:p w14:paraId="13AB0D69">
            <w:pPr>
              <w:spacing w:before="240" w:after="240"/>
              <w:ind w:right="5"/>
              <w:jc w:val="both"/>
              <w:rPr>
                <w:rFonts w:hint="default"/>
                <w:bCs/>
                <w:lang w:val="pt-BR"/>
              </w:rPr>
            </w:pPr>
            <w:r>
              <w:rPr>
                <w:rFonts w:hint="default"/>
                <w:b/>
                <w:bCs/>
              </w:rPr>
              <w:t>Contratação de empresa especializada para execução dos serviços de ampliação do prédio da Câmara, visando à adequação das instalações físicas às demandas institucionais e à melhoria das condições operacionais no âmbito do órgão legislativo</w:t>
            </w:r>
            <w:r>
              <w:rPr>
                <w:rFonts w:hint="default"/>
                <w:b/>
                <w:bCs/>
                <w:lang w:val="pt-BR"/>
              </w:rPr>
              <w:t xml:space="preserve"> conforme planilha orçamentaria</w:t>
            </w:r>
          </w:p>
        </w:tc>
        <w:tc>
          <w:tcPr>
            <w:tcW w:w="851" w:type="dxa"/>
            <w:vAlign w:val="center"/>
          </w:tcPr>
          <w:p w14:paraId="0D6119F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Serv.</w:t>
            </w:r>
          </w:p>
        </w:tc>
        <w:tc>
          <w:tcPr>
            <w:tcW w:w="992" w:type="dxa"/>
            <w:vAlign w:val="center"/>
          </w:tcPr>
          <w:p w14:paraId="740DBC0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1</w:t>
            </w:r>
          </w:p>
        </w:tc>
        <w:tc>
          <w:tcPr>
            <w:tcW w:w="1730" w:type="dxa"/>
            <w:vAlign w:val="center"/>
          </w:tcPr>
          <w:p w14:paraId="5E0D3546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default"/>
              </w:rPr>
              <w:t>147.759,54</w:t>
            </w:r>
          </w:p>
        </w:tc>
      </w:tr>
    </w:tbl>
    <w:p w14:paraId="50DD2E74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</w:p>
    <w:p w14:paraId="34A89C65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 xml:space="preserve">1.2. As partes declaram-se vinculadas ao termos do Processo de Dispensa nº </w:t>
      </w:r>
      <w:r>
        <w:rPr>
          <w:rFonts w:hint="default" w:ascii="Palatino Linotype" w:hAnsi="Palatino Linotype" w:cs="Courier"/>
          <w:lang w:val="pt-BR"/>
        </w:rPr>
        <w:t>05</w:t>
      </w:r>
      <w:r>
        <w:rPr>
          <w:rFonts w:ascii="Palatino Linotype" w:hAnsi="Palatino Linotype" w:cs="Courier"/>
        </w:rPr>
        <w:t>/20</w:t>
      </w:r>
      <w:r>
        <w:rPr>
          <w:rFonts w:hint="default" w:ascii="Palatino Linotype" w:hAnsi="Palatino Linotype" w:cs="Courier"/>
          <w:lang w:val="pt-BR"/>
        </w:rPr>
        <w:t>26</w:t>
      </w:r>
      <w:r>
        <w:rPr>
          <w:rFonts w:ascii="Palatino Linotype" w:hAnsi="Palatino Linotype" w:cs="Courier"/>
        </w:rPr>
        <w:t xml:space="preserve">, não podendo, nenhuma, conforme o caso, afastar-se das regras e condições nele previstas. </w:t>
      </w:r>
    </w:p>
    <w:p w14:paraId="2DBE62CB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  <w:lang w:val="pt-BR"/>
        </w:rPr>
      </w:pPr>
      <w:r>
        <w:rPr>
          <w:rFonts w:ascii="Palatino Linotype" w:hAnsi="Palatino Linotype" w:cs="Courier"/>
        </w:rPr>
        <w:t>1.</w:t>
      </w:r>
      <w:r>
        <w:rPr>
          <w:rFonts w:hint="default" w:ascii="Palatino Linotype" w:hAnsi="Palatino Linotype" w:cs="Courier"/>
          <w:lang w:val="pt-BR"/>
        </w:rPr>
        <w:t>3</w:t>
      </w:r>
      <w:r>
        <w:rPr>
          <w:rFonts w:ascii="Palatino Linotype" w:hAnsi="Palatino Linotype" w:cs="Courier"/>
        </w:rPr>
        <w:t xml:space="preserve">. </w:t>
      </w:r>
      <w:r>
        <w:rPr>
          <w:rFonts w:hint="default" w:ascii="Palatino Linotype" w:hAnsi="Palatino Linotype" w:cs="Courier"/>
        </w:rPr>
        <w:t>O presente contrato reger-se-á</w:t>
      </w:r>
      <w:r>
        <w:rPr>
          <w:rFonts w:hint="default" w:ascii="Palatino Linotype" w:hAnsi="Palatino Linotype" w:cs="Courier"/>
          <w:lang w:val="pt-BR"/>
        </w:rPr>
        <w:t xml:space="preserve"> também</w:t>
      </w:r>
      <w:r>
        <w:rPr>
          <w:rFonts w:hint="default" w:ascii="Palatino Linotype" w:hAnsi="Palatino Linotype" w:cs="Courier"/>
        </w:rPr>
        <w:t xml:space="preserve"> pelas cláusulas e condições nele contidas, tem fundamento legal pela Lei Federal nº 14.1333/2021 e demais normas regulamentares vigentes, aplicáveis a espécie e que regem a matéria</w:t>
      </w:r>
      <w:r>
        <w:rPr>
          <w:rFonts w:hint="default" w:ascii="Palatino Linotype" w:hAnsi="Palatino Linotype" w:cs="Courier"/>
          <w:lang w:val="pt-BR"/>
        </w:rPr>
        <w:t>.</w:t>
      </w:r>
    </w:p>
    <w:p w14:paraId="72F5A91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autoSpaceDE w:val="0"/>
        <w:autoSpaceDN w:val="0"/>
        <w:adjustRightInd w:val="0"/>
        <w:spacing w:before="120" w:after="0" w:line="240" w:lineRule="auto"/>
        <w:jc w:val="center"/>
        <w:rPr>
          <w:rFonts w:ascii="Palatino Linotype" w:hAnsi="Palatino Linotype" w:cs="Courier"/>
          <w:b/>
          <w:bCs/>
        </w:rPr>
      </w:pPr>
      <w:r>
        <w:rPr>
          <w:rFonts w:ascii="Palatino Linotype" w:hAnsi="Palatino Linotype" w:cs="Courier"/>
          <w:b/>
          <w:bCs/>
        </w:rPr>
        <w:t>2. CLÁUSULA SEGUNDA – DA FORMA DE PRESTAÇÃO DOS SERVIÇOS E DO RECEBIMENTO</w:t>
      </w:r>
    </w:p>
    <w:p w14:paraId="381AB82E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2.1. A forma de execução deste contrato é indireta.</w:t>
      </w:r>
    </w:p>
    <w:p w14:paraId="3FE8524C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 xml:space="preserve">2.2. Fundamentado art. 75, inciso </w:t>
      </w:r>
      <w:r>
        <w:rPr>
          <w:rFonts w:hint="default" w:ascii="Palatino Linotype" w:hAnsi="Palatino Linotype" w:cs="Courier"/>
          <w:lang w:val="pt-BR"/>
        </w:rPr>
        <w:t>V</w:t>
      </w:r>
      <w:r>
        <w:rPr>
          <w:rFonts w:ascii="Palatino Linotype" w:hAnsi="Palatino Linotype" w:cs="Courier"/>
        </w:rPr>
        <w:t>II, da Lei 14.133/2021.</w:t>
      </w:r>
    </w:p>
    <w:p w14:paraId="2AAE6D9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autoSpaceDE w:val="0"/>
        <w:autoSpaceDN w:val="0"/>
        <w:adjustRightInd w:val="0"/>
        <w:spacing w:before="120" w:after="0" w:line="240" w:lineRule="auto"/>
        <w:jc w:val="center"/>
        <w:rPr>
          <w:rFonts w:ascii="Palatino Linotype" w:hAnsi="Palatino Linotype" w:cs="Courier"/>
          <w:b/>
          <w:bCs/>
        </w:rPr>
      </w:pPr>
      <w:r>
        <w:rPr>
          <w:rFonts w:ascii="Palatino Linotype" w:hAnsi="Palatino Linotype" w:cs="Courier"/>
          <w:b/>
          <w:bCs/>
        </w:rPr>
        <w:t>3. CLÁUSULA TERCEIRA – DA VIGÊNCIA</w:t>
      </w:r>
    </w:p>
    <w:p w14:paraId="6362A20A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 xml:space="preserve">3.1. O presente contrato vigerá a partir do dia da assinatura até </w:t>
      </w:r>
      <w:r>
        <w:rPr>
          <w:rFonts w:hint="default" w:ascii="Palatino Linotype" w:hAnsi="Palatino Linotype" w:cs="Courier"/>
          <w:lang w:val="pt-BR"/>
        </w:rPr>
        <w:t>07 Meses</w:t>
      </w:r>
      <w:r>
        <w:rPr>
          <w:rFonts w:ascii="Palatino Linotype" w:hAnsi="Palatino Linotype" w:cs="Courier"/>
        </w:rPr>
        <w:t>.</w:t>
      </w:r>
    </w:p>
    <w:p w14:paraId="1FC12E94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 xml:space="preserve">3.2. Justificadamente e havendo interesse das partes, poderá ser prorrogado até o máximo permitido em lei. </w:t>
      </w:r>
    </w:p>
    <w:p w14:paraId="7A018B6D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  <w:lang w:val="pt-BR"/>
        </w:rPr>
      </w:pPr>
      <w:r>
        <w:rPr>
          <w:rFonts w:hint="default" w:ascii="Palatino Linotype" w:hAnsi="Palatino Linotype" w:cs="Courier"/>
          <w:lang w:val="pt-BR"/>
        </w:rPr>
        <w:t>3.3   O prazo de entrega da obra será de 120 (cento e vinte) dias, após a emissão da Ordem de Serviços pela administração.</w:t>
      </w:r>
    </w:p>
    <w:p w14:paraId="45C052C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autoSpaceDE w:val="0"/>
        <w:autoSpaceDN w:val="0"/>
        <w:adjustRightInd w:val="0"/>
        <w:spacing w:before="120" w:after="0" w:line="240" w:lineRule="auto"/>
        <w:jc w:val="center"/>
        <w:rPr>
          <w:rFonts w:ascii="Palatino Linotype" w:hAnsi="Palatino Linotype" w:cs="Courier"/>
          <w:b/>
          <w:bCs/>
        </w:rPr>
      </w:pPr>
      <w:r>
        <w:rPr>
          <w:rFonts w:ascii="Palatino Linotype" w:hAnsi="Palatino Linotype" w:cs="Courier"/>
          <w:b/>
          <w:bCs/>
        </w:rPr>
        <w:t>4. CLÁUSULA QUARTA -- DO VALOR E FORMA DE PAGAMENTO</w:t>
      </w:r>
    </w:p>
    <w:p w14:paraId="353475BB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 xml:space="preserve">4.1. O valor Global do presente contrato é de R$ </w:t>
      </w:r>
      <w:r>
        <w:rPr>
          <w:rFonts w:hint="default" w:ascii="Palatino Linotype" w:hAnsi="Palatino Linotype" w:cs="Courier"/>
        </w:rPr>
        <w:t>147.759,54 (Cento e quarenta e sete mil, setecentos e cinquenta e nove reais e cinquenta e quatro centavos)</w:t>
      </w:r>
      <w:r>
        <w:rPr>
          <w:rFonts w:ascii="Palatino Linotype" w:hAnsi="Palatino Linotype" w:cs="Courier"/>
        </w:rPr>
        <w:t>.</w:t>
      </w:r>
    </w:p>
    <w:p w14:paraId="6F69EE64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  <w:lang w:val="pt-BR"/>
        </w:rPr>
      </w:pPr>
      <w:r>
        <w:rPr>
          <w:rFonts w:ascii="Palatino Linotype" w:hAnsi="Palatino Linotype" w:cs="Courier"/>
        </w:rPr>
        <w:t>4.2. O pagamento será realizado de acordo com o pedido feito pela Câmara Municipal, mediante a apresentação de</w:t>
      </w:r>
      <w:r>
        <w:rPr>
          <w:rFonts w:ascii="Palatino Linotype" w:hAnsi="Palatino Linotype" w:cs="Courier"/>
          <w:color w:val="C00000"/>
        </w:rPr>
        <w:t xml:space="preserve"> </w:t>
      </w:r>
      <w:r>
        <w:rPr>
          <w:rFonts w:ascii="Palatino Linotype" w:hAnsi="Palatino Linotype" w:cs="Courier"/>
        </w:rPr>
        <w:t>Nota Fiscal</w:t>
      </w:r>
      <w:r>
        <w:rPr>
          <w:rFonts w:hint="default" w:ascii="Palatino Linotype" w:hAnsi="Palatino Linotype" w:cs="Courier"/>
          <w:lang w:val="pt-BR"/>
        </w:rPr>
        <w:t xml:space="preserve"> devendo ser acompanhada:</w:t>
      </w:r>
    </w:p>
    <w:p w14:paraId="70F5DF0B">
      <w:pPr>
        <w:pStyle w:val="21"/>
        <w:numPr>
          <w:ilvl w:val="0"/>
          <w:numId w:val="2"/>
        </w:numPr>
        <w:tabs>
          <w:tab w:val="clear" w:pos="420"/>
        </w:tabs>
        <w:spacing w:before="240" w:after="288" w:afterLines="120" w:line="240" w:lineRule="auto"/>
        <w:ind w:left="880" w:leftChars="0" w:hanging="420" w:firstLineChars="0"/>
        <w:rPr>
          <w:rFonts w:ascii="Palatino Linotype" w:hAnsi="Palatino Linotype" w:cs="Courier" w:eastAsiaTheme="minorHAnsi"/>
          <w:i w:val="0"/>
          <w:iCs w:val="0"/>
          <w:color w:val="auto"/>
          <w:sz w:val="22"/>
          <w:szCs w:val="22"/>
          <w:lang w:val="pt-BR" w:eastAsia="en-US" w:bidi="ar-SA"/>
        </w:rPr>
      </w:pPr>
      <w:r>
        <w:rPr>
          <w:rFonts w:ascii="Palatino Linotype" w:hAnsi="Palatino Linotype" w:cs="Courier" w:eastAsiaTheme="minorHAnsi"/>
          <w:i w:val="0"/>
          <w:iCs w:val="0"/>
          <w:color w:val="auto"/>
          <w:sz w:val="22"/>
          <w:szCs w:val="22"/>
          <w:lang w:val="pt-BR" w:eastAsia="en-US" w:bidi="ar-SA"/>
        </w:rPr>
        <w:t>Prova de regularidade fiscal perante a Fazenda Nacional.</w:t>
      </w:r>
    </w:p>
    <w:p w14:paraId="237A9C2A">
      <w:pPr>
        <w:pStyle w:val="21"/>
        <w:numPr>
          <w:ilvl w:val="0"/>
          <w:numId w:val="2"/>
        </w:numPr>
        <w:tabs>
          <w:tab w:val="clear" w:pos="420"/>
        </w:tabs>
        <w:spacing w:before="240" w:after="288" w:afterLines="120" w:line="240" w:lineRule="auto"/>
        <w:ind w:left="660" w:leftChars="0" w:hanging="200" w:firstLineChars="0"/>
        <w:rPr>
          <w:rFonts w:ascii="Palatino Linotype" w:hAnsi="Palatino Linotype" w:cs="Courier" w:eastAsiaTheme="minorHAnsi"/>
          <w:i w:val="0"/>
          <w:iCs w:val="0"/>
          <w:color w:val="auto"/>
          <w:sz w:val="22"/>
          <w:szCs w:val="22"/>
          <w:lang w:val="pt-BR" w:eastAsia="en-US" w:bidi="ar-SA"/>
        </w:rPr>
      </w:pPr>
      <w:r>
        <w:rPr>
          <w:rFonts w:ascii="Palatino Linotype" w:hAnsi="Palatino Linotype" w:cs="Courier" w:eastAsiaTheme="minorHAnsi"/>
          <w:i w:val="0"/>
          <w:iCs w:val="0"/>
          <w:color w:val="auto"/>
          <w:sz w:val="22"/>
          <w:szCs w:val="22"/>
          <w:lang w:val="pt-BR" w:eastAsia="en-US" w:bidi="ar-SA"/>
        </w:rPr>
        <w:t>Prova de regularidade com a Fazenda Estadual e/ou Municipal do domicílio ou sede do fornecedor, relativa à atividade em cujo exercício contrata ou concorre.</w:t>
      </w:r>
    </w:p>
    <w:p w14:paraId="31C5B1C7">
      <w:pPr>
        <w:pStyle w:val="21"/>
        <w:numPr>
          <w:ilvl w:val="0"/>
          <w:numId w:val="2"/>
        </w:numPr>
        <w:tabs>
          <w:tab w:val="clear" w:pos="420"/>
        </w:tabs>
        <w:spacing w:before="240" w:after="288" w:afterLines="120" w:line="240" w:lineRule="auto"/>
        <w:ind w:left="880" w:leftChars="0" w:hanging="420" w:firstLineChars="0"/>
        <w:rPr>
          <w:rFonts w:ascii="Palatino Linotype" w:hAnsi="Palatino Linotype" w:cs="Courier" w:eastAsiaTheme="minorHAnsi"/>
          <w:i w:val="0"/>
          <w:iCs w:val="0"/>
          <w:color w:val="auto"/>
          <w:sz w:val="22"/>
          <w:szCs w:val="22"/>
          <w:lang w:val="pt-BR" w:eastAsia="en-US" w:bidi="ar-SA"/>
        </w:rPr>
      </w:pPr>
      <w:r>
        <w:rPr>
          <w:rFonts w:ascii="Palatino Linotype" w:hAnsi="Palatino Linotype" w:cs="Courier" w:eastAsiaTheme="minorHAnsi"/>
          <w:i w:val="0"/>
          <w:iCs w:val="0"/>
          <w:color w:val="auto"/>
          <w:sz w:val="22"/>
          <w:szCs w:val="22"/>
          <w:lang w:val="pt-BR" w:eastAsia="en-US" w:bidi="ar-SA"/>
        </w:rPr>
        <w:t>Prova de regularidade com o Fundo de Garantia do Tempo de Serviço (FGTS).</w:t>
      </w:r>
    </w:p>
    <w:p w14:paraId="0841F3D1">
      <w:pPr>
        <w:pStyle w:val="21"/>
        <w:numPr>
          <w:ilvl w:val="0"/>
          <w:numId w:val="2"/>
        </w:numPr>
        <w:tabs>
          <w:tab w:val="clear" w:pos="420"/>
        </w:tabs>
        <w:spacing w:before="240" w:after="288" w:afterLines="120" w:line="240" w:lineRule="auto"/>
        <w:ind w:left="880" w:leftChars="0" w:hanging="420" w:firstLineChars="0"/>
        <w:rPr>
          <w:rFonts w:ascii="Palatino Linotype" w:hAnsi="Palatino Linotype" w:cs="Courier" w:eastAsiaTheme="minorHAnsi"/>
          <w:i w:val="0"/>
          <w:iCs w:val="0"/>
          <w:color w:val="auto"/>
          <w:sz w:val="22"/>
          <w:szCs w:val="22"/>
          <w:lang w:val="pt-BR" w:eastAsia="en-US" w:bidi="ar-SA"/>
        </w:rPr>
      </w:pPr>
      <w:r>
        <w:rPr>
          <w:rFonts w:ascii="Palatino Linotype" w:hAnsi="Palatino Linotype" w:cs="Courier" w:eastAsiaTheme="minorHAnsi"/>
          <w:i w:val="0"/>
          <w:iCs w:val="0"/>
          <w:color w:val="auto"/>
          <w:sz w:val="22"/>
          <w:szCs w:val="22"/>
          <w:lang w:val="pt-BR" w:eastAsia="en-US" w:bidi="ar-SA"/>
        </w:rPr>
        <w:t>Prova de inexistência de débitos inadimplidos perante a Justiça do Trabalho.</w:t>
      </w:r>
    </w:p>
    <w:p w14:paraId="230A593C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4.3. No recibo ou na Nota Fiscal deverá ser calculados das retenções a serem realizadas, como IR e ISS.</w:t>
      </w:r>
    </w:p>
    <w:p w14:paraId="78149CE7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4.4.  Em caso de não apresentar os cálculos das retenções legais cabíveis este será realizado Pelo Setor de Contabilidade da Câmara Municipal.</w:t>
      </w:r>
    </w:p>
    <w:p w14:paraId="586DB252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</w:rPr>
        <w:t>4.</w:t>
      </w:r>
      <w:r>
        <w:rPr>
          <w:rFonts w:hint="default" w:ascii="Palatino Linotype" w:hAnsi="Palatino Linotype" w:cs="Courier"/>
          <w:lang w:val="pt-BR"/>
        </w:rPr>
        <w:t>5</w:t>
      </w:r>
      <w:r>
        <w:rPr>
          <w:rFonts w:hint="default" w:ascii="Palatino Linotype" w:hAnsi="Palatino Linotype" w:cs="Courier"/>
        </w:rPr>
        <w:t>.O pagamento será efetuado pela Contratante no prazo de até 30 (trinta) dias, contados do recebimento da Nota Fiscal/Fatura.</w:t>
      </w:r>
    </w:p>
    <w:p w14:paraId="7EC1471E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</w:rPr>
        <w:t>4.5.A emissão da Nota Fiscal/Fatura será precedida do ATESTO do referido Boletim de Medição — BM, pela fiscalização da Obra, em conformidade com os serviços executados, conforme projetos, planilha orçamentaria e memoriais e especificações técnicas.</w:t>
      </w:r>
    </w:p>
    <w:p w14:paraId="556D7D6B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</w:rPr>
        <w:t>4.6.Havendo erro na apresentação da Nota Fiscal/Fatura, ou circunstância que impeça a liquidação da despesa, o pagamento ficará sobrestado até que a Contratada providencie as medidas saneadoras. Nesta hipótese, o prazo para pagamento iniciar-se-á após a comprovação da regularização da situação, não acarretando qualquer ônus para a Contratante.</w:t>
      </w:r>
    </w:p>
    <w:p w14:paraId="4555B73D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</w:rPr>
        <w:t>4.7.Somente serão pagos os serviços efetivamente executados de acordo com o cronograma físico- financeiro.</w:t>
      </w:r>
    </w:p>
    <w:p w14:paraId="4DEBB50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autoSpaceDE w:val="0"/>
        <w:autoSpaceDN w:val="0"/>
        <w:adjustRightInd w:val="0"/>
        <w:spacing w:before="120" w:after="0" w:line="240" w:lineRule="auto"/>
        <w:jc w:val="center"/>
        <w:rPr>
          <w:rFonts w:hint="default" w:ascii="Palatino Linotype" w:hAnsi="Palatino Linotype" w:cs="Courier"/>
          <w:b/>
          <w:bCs/>
        </w:rPr>
      </w:pPr>
      <w:r>
        <w:rPr>
          <w:rFonts w:hint="default" w:ascii="Palatino Linotype" w:hAnsi="Palatino Linotype" w:cs="Courier"/>
          <w:b/>
          <w:bCs/>
          <w:lang w:val="pt-BR"/>
        </w:rPr>
        <w:t>5</w:t>
      </w:r>
      <w:r>
        <w:rPr>
          <w:rFonts w:ascii="Palatino Linotype" w:hAnsi="Palatino Linotype" w:cs="Courier"/>
          <w:b/>
          <w:bCs/>
        </w:rPr>
        <w:t>. CLÁUSULA QUARTA -- DO VALOR E FORMA DE PAGAMENTO</w:t>
      </w:r>
    </w:p>
    <w:p w14:paraId="0FC9912E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5</w:t>
      </w:r>
      <w:r>
        <w:rPr>
          <w:rFonts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>1</w:t>
      </w:r>
      <w:r>
        <w:rPr>
          <w:rFonts w:ascii="Palatino Linotype" w:hAnsi="Palatino Linotype" w:cs="Courier"/>
        </w:rPr>
        <w:t xml:space="preserve">. </w:t>
      </w:r>
      <w:r>
        <w:rPr>
          <w:rFonts w:hint="default" w:ascii="Palatino Linotype" w:hAnsi="Palatino Linotype" w:cs="Courier"/>
          <w:lang w:val="pt-BR"/>
        </w:rPr>
        <w:t xml:space="preserve">  </w:t>
      </w:r>
      <w:r>
        <w:rPr>
          <w:rFonts w:hint="default" w:ascii="Palatino Linotype" w:hAnsi="Palatino Linotype" w:cs="Courier"/>
        </w:rPr>
        <w:t>Os preços inicialmente contratados são fixos e irreajustáveis no prazo de um ano contado da data da apresentação da proposta de preços.</w:t>
      </w:r>
    </w:p>
    <w:p w14:paraId="6CEE5230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5</w:t>
      </w:r>
      <w:r>
        <w:rPr>
          <w:rFonts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>2</w:t>
      </w:r>
      <w:r>
        <w:rPr>
          <w:rFonts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 xml:space="preserve">  O </w:t>
      </w:r>
      <w:r>
        <w:rPr>
          <w:rFonts w:hint="default" w:ascii="Palatino Linotype" w:hAnsi="Palatino Linotype" w:cs="Courier"/>
        </w:rPr>
        <w:t xml:space="preserve">orçamento estimado pela Administração baseou-se nas planilhas referenciais [elaboradas com base no Índice do  Sistema Nacional de Pesquisa de Custos e Índices da Construção Civil, SINAPI - 02/2026. </w:t>
      </w:r>
    </w:p>
    <w:p w14:paraId="5A84F06F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5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>3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 xml:space="preserve">   </w:t>
      </w:r>
      <w:r>
        <w:rPr>
          <w:rFonts w:hint="default" w:ascii="Palatino Linotype" w:hAnsi="Palatino Linotype" w:cs="Courier"/>
        </w:rPr>
        <w:t>Após o interregno de um ano, e independentemente de pedido do contratado, os preços iniciais serão reajustados, mediante a aplicação, pelo contratante, das seguintes planilhas referenciais SINAPI, exclusivamente para as obrigações iniciadas e concluídas após a ocorrência da anualidade.</w:t>
      </w:r>
    </w:p>
    <w:p w14:paraId="64614BF6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5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>4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 xml:space="preserve">   </w:t>
      </w:r>
      <w:r>
        <w:rPr>
          <w:rFonts w:hint="default" w:ascii="Palatino Linotype" w:hAnsi="Palatino Linotype" w:cs="Courier"/>
        </w:rPr>
        <w:t>Nos reajustes subsequentes ao primeiro, o interregno mínimo de um ano será contado a partir dos efeitos financeiros do último reajuste.</w:t>
      </w:r>
    </w:p>
    <w:p w14:paraId="37BAC442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5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>5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 xml:space="preserve">   </w:t>
      </w:r>
      <w:r>
        <w:rPr>
          <w:rFonts w:hint="default" w:ascii="Palatino Linotype" w:hAnsi="Palatino Linotype" w:cs="Courier"/>
        </w:rPr>
        <w:t xml:space="preserve">No caso de atraso ou não divulgação do(s) índice (s) de reajustamento, o contratante pagará ao contratado a importância calculada pela última variação conhecida, liquidando a diferença correspondente tão logo seja(m) divulgado(s) o(s) índice(s) definitivo(s). </w:t>
      </w:r>
    </w:p>
    <w:p w14:paraId="414A758E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5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 xml:space="preserve">6   </w:t>
      </w:r>
      <w:r>
        <w:rPr>
          <w:rFonts w:hint="default" w:ascii="Palatino Linotype" w:hAnsi="Palatino Linotype" w:cs="Courier"/>
        </w:rPr>
        <w:t>Fica o Contratado obrigado a apresentar memória de cálculo referente ao reajustamento de preços do valor remanescente, sempre que este ocorrer.</w:t>
      </w:r>
    </w:p>
    <w:p w14:paraId="1183F084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 xml:space="preserve">5.7   </w:t>
      </w:r>
      <w:r>
        <w:rPr>
          <w:rFonts w:hint="default" w:ascii="Palatino Linotype" w:hAnsi="Palatino Linotype" w:cs="Courier"/>
        </w:rPr>
        <w:t>Nas aferições finais, o(s) índice(s) utilizado(s) para reajuste será(ão), obrigatoriamente, o(s) definitivo(s).</w:t>
      </w:r>
    </w:p>
    <w:p w14:paraId="62270E91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 xml:space="preserve">5.8  </w:t>
      </w:r>
      <w:r>
        <w:rPr>
          <w:rFonts w:hint="default" w:ascii="Palatino Linotype" w:hAnsi="Palatino Linotype" w:cs="Courier"/>
        </w:rPr>
        <w:t>Caso o(s) índice(s) estabelecido(s) para reajustamento venha(m) a ser extinto(s) ou de qualquer forma não possa(m) mais ser utilizado(s), será(ão) adotado(s), em substituição, o(s) que vier(em) a ser determinado(s) pela legislação então em vigor.</w:t>
      </w:r>
    </w:p>
    <w:p w14:paraId="5354CFC5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5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 xml:space="preserve">9   </w:t>
      </w:r>
      <w:r>
        <w:rPr>
          <w:rFonts w:hint="default" w:ascii="Palatino Linotype" w:hAnsi="Palatino Linotype" w:cs="Courier"/>
        </w:rPr>
        <w:t xml:space="preserve">Na ausência de previsão legal quanto ao índice substituto, as partes elegerão novo índice oficial, para reajustamento do preço do valor remanescente, por meio de termo aditivo. </w:t>
      </w:r>
    </w:p>
    <w:p w14:paraId="57E2E141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5.10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 xml:space="preserve">   </w:t>
      </w:r>
      <w:r>
        <w:rPr>
          <w:rFonts w:hint="default" w:ascii="Palatino Linotype" w:hAnsi="Palatino Linotype" w:cs="Courier"/>
        </w:rPr>
        <w:t>O reajuste será realizado por apostilamento.</w:t>
      </w:r>
    </w:p>
    <w:p w14:paraId="2279A649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5.10.1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 xml:space="preserve">   </w:t>
      </w:r>
      <w:r>
        <w:rPr>
          <w:rFonts w:hint="default" w:ascii="Palatino Linotype" w:hAnsi="Palatino Linotype" w:cs="Courier"/>
        </w:rPr>
        <w:t>Eventuais alterações contratuais reger-se-ão pela disciplina dos arts. 124 e seguintes da Lei nº 14.133, de 2021.</w:t>
      </w:r>
    </w:p>
    <w:p w14:paraId="22DEEBCB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5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>11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 xml:space="preserve">   </w:t>
      </w:r>
      <w:r>
        <w:rPr>
          <w:rFonts w:hint="default" w:ascii="Palatino Linotype" w:hAnsi="Palatino Linotype" w:cs="Courier"/>
        </w:rPr>
        <w:t>O contratado é obrigado a aceitar, nas mesmas condições contratuais, os acréscimos ou supressões que se fizerem necessários, até o limite de 25% (vinte e cinco por cento) do valor inicial atualizado do contrato.</w:t>
      </w:r>
    </w:p>
    <w:p w14:paraId="251B3A2C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5</w:t>
      </w:r>
      <w:r>
        <w:rPr>
          <w:rFonts w:hint="default" w:ascii="Palatino Linotype" w:hAnsi="Palatino Linotype" w:cs="Courier"/>
        </w:rPr>
        <w:t>.1</w:t>
      </w:r>
      <w:r>
        <w:rPr>
          <w:rFonts w:hint="default" w:ascii="Palatino Linotype" w:hAnsi="Palatino Linotype" w:cs="Courier"/>
          <w:lang w:val="pt-BR"/>
        </w:rPr>
        <w:t>2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 xml:space="preserve">   </w:t>
      </w:r>
      <w:r>
        <w:rPr>
          <w:rFonts w:hint="default" w:ascii="Palatino Linotype" w:hAnsi="Palatino Linotype" w:cs="Courier"/>
        </w:rPr>
        <w:t>As alterações contratuais deverão ser promovidas mediante celebração de termo aditivo, submetido à prévia aprovação da consultoria jurídica do contratante, salvo nos casos de justificada necessidade de antecipação de seus efeitos, hipótese em que a formalização do aditivo deverá ocorrer no prazo máximo de 1 (um) mês (art. 132 da Lei nº 14.133, de 2021).</w:t>
      </w:r>
    </w:p>
    <w:p w14:paraId="0C57E738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5</w:t>
      </w:r>
      <w:r>
        <w:rPr>
          <w:rFonts w:hint="default" w:ascii="Palatino Linotype" w:hAnsi="Palatino Linotype" w:cs="Courier"/>
        </w:rPr>
        <w:t>.1</w:t>
      </w:r>
      <w:r>
        <w:rPr>
          <w:rFonts w:hint="default" w:ascii="Palatino Linotype" w:hAnsi="Palatino Linotype" w:cs="Courier"/>
          <w:lang w:val="pt-BR"/>
        </w:rPr>
        <w:t xml:space="preserve">3.   </w:t>
      </w:r>
      <w:r>
        <w:rPr>
          <w:rFonts w:hint="default" w:ascii="Palatino Linotype" w:hAnsi="Palatino Linotype" w:cs="Courier"/>
        </w:rPr>
        <w:t>Registros que não caracterizam alteração do contrato podem ser realizados por simples apostila, dispensada a celebração de termo aditivo, na forma do art. 136 da Lei nº 14.133, de 2021.</w:t>
      </w:r>
    </w:p>
    <w:p w14:paraId="0DF9DB0E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</w:p>
    <w:p w14:paraId="19FC8F1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autoSpaceDE w:val="0"/>
        <w:autoSpaceDN w:val="0"/>
        <w:adjustRightInd w:val="0"/>
        <w:spacing w:before="120" w:after="0" w:line="240" w:lineRule="auto"/>
        <w:jc w:val="center"/>
        <w:rPr>
          <w:rFonts w:ascii="Palatino Linotype" w:hAnsi="Palatino Linotype" w:cs="Courier"/>
          <w:b/>
          <w:bCs/>
        </w:rPr>
      </w:pPr>
      <w:r>
        <w:rPr>
          <w:rFonts w:ascii="Palatino Linotype" w:hAnsi="Palatino Linotype" w:cs="Courier"/>
          <w:b/>
          <w:bCs/>
        </w:rPr>
        <w:t>6. CLÁUSULA SEXTA -- DA LEGISLAÇÃO APLICAVEL A ESTE CONTRATO E AOS CASOS OMISSOS</w:t>
      </w:r>
    </w:p>
    <w:p w14:paraId="186D103A">
      <w:pPr>
        <w:widowControl w:val="0"/>
        <w:spacing w:before="120" w:after="0" w:line="240" w:lineRule="auto"/>
        <w:jc w:val="both"/>
        <w:rPr>
          <w:rFonts w:ascii="Palatino Linotype" w:hAnsi="Palatino Linotype" w:cstheme="minorHAnsi"/>
          <w:b/>
          <w:bCs/>
        </w:rPr>
      </w:pPr>
      <w:r>
        <w:rPr>
          <w:rFonts w:ascii="Palatino Linotype" w:hAnsi="Palatino Linotype" w:cstheme="minorHAnsi"/>
        </w:rPr>
        <w:t>6.1.</w:t>
      </w:r>
      <w:r>
        <w:rPr>
          <w:rFonts w:ascii="Palatino Linotype" w:hAnsi="Palatino Linotype" w:cstheme="minorHAnsi"/>
          <w:b/>
          <w:bCs/>
        </w:rPr>
        <w:t xml:space="preserve"> As partes declaram-se sujeitas às disposições da Lei Federal nº 14.133/2023 e todas as suas alterações, que será aplicada em sua plenitude a este Contrato, bem como aos casos omissos resultantes desta pactuação.</w:t>
      </w:r>
    </w:p>
    <w:p w14:paraId="24052DE0">
      <w:pPr>
        <w:widowControl w:val="0"/>
        <w:spacing w:before="120" w:after="0" w:line="240" w:lineRule="auto"/>
        <w:jc w:val="both"/>
        <w:rPr>
          <w:rFonts w:ascii="Palatino Linotype" w:hAnsi="Palatino Linotype" w:cstheme="minorHAnsi"/>
          <w:b/>
          <w:bCs/>
        </w:rPr>
      </w:pPr>
      <w:r>
        <w:rPr>
          <w:rFonts w:ascii="Palatino Linotype" w:hAnsi="Palatino Linotype" w:cstheme="minorHAnsi"/>
          <w:b/>
          <w:bCs/>
        </w:rPr>
        <w:t>6.2. Aplica-se ainda, no que couber, a Constituição Federal, Estadual e Lei Orgânica do Município e as normas que regem a profissão.</w:t>
      </w:r>
    </w:p>
    <w:p w14:paraId="7D17AE8A">
      <w:pPr>
        <w:widowControl w:val="0"/>
        <w:spacing w:before="120" w:after="0" w:line="240" w:lineRule="auto"/>
        <w:jc w:val="both"/>
        <w:rPr>
          <w:rFonts w:ascii="Palatino Linotype" w:hAnsi="Palatino Linotype" w:cstheme="minorHAnsi"/>
          <w:b/>
          <w:bCs/>
        </w:rPr>
      </w:pPr>
    </w:p>
    <w:p w14:paraId="0A44F313">
      <w:pPr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spacing w:before="120" w:after="0" w:line="240" w:lineRule="auto"/>
        <w:jc w:val="center"/>
        <w:rPr>
          <w:rFonts w:ascii="Palatino Linotype" w:hAnsi="Palatino Linotype" w:cstheme="minorHAnsi"/>
          <w:b/>
          <w:bCs/>
        </w:rPr>
      </w:pPr>
      <w:r>
        <w:rPr>
          <w:rFonts w:ascii="Palatino Linotype" w:hAnsi="Palatino Linotype" w:cstheme="minorHAnsi"/>
          <w:b/>
          <w:bCs/>
        </w:rPr>
        <w:t>7. CLÁUSULA SÉTIMA – DAS OBRIGAÇÕES</w:t>
      </w:r>
    </w:p>
    <w:p w14:paraId="2E82B20B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7.1. Da Contratante:</w:t>
      </w:r>
    </w:p>
    <w:p w14:paraId="4BCD4235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7.1.1. Efetuar o pagamento pela prestação do serviço conforme o disposto na Cláusula Quarta;</w:t>
      </w:r>
    </w:p>
    <w:p w14:paraId="5AA25B2F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7.1.2. Fornecer todas as informações que se fizerem necessários para a realização do objeto deste contrato;</w:t>
      </w:r>
    </w:p>
    <w:p w14:paraId="1B003D22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7.1.3. Garantir as condições mínimas para prestação dos serviços e ressarcir a despesas extras, especialmente quanto ao fornecimento de local, materiais diversos e equipamentos.</w:t>
      </w:r>
    </w:p>
    <w:p w14:paraId="48AC2BFD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7.1.4. Fiscalizar a sua execução seja por servidor designado ou por meio de Comissão Especial;</w:t>
      </w:r>
    </w:p>
    <w:p w14:paraId="0566E3B7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7.2. Do Contratado:</w:t>
      </w:r>
    </w:p>
    <w:p w14:paraId="560F2A80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 xml:space="preserve">7.2.1. Fica sob responsabilidade da Contratada a </w:t>
      </w:r>
      <w:r>
        <w:rPr>
          <w:rFonts w:ascii="Palatino Linotype" w:hAnsi="Palatino Linotype" w:cs="Courier"/>
          <w:lang w:val="pt-BR"/>
        </w:rPr>
        <w:t>entrega</w:t>
      </w:r>
      <w:r>
        <w:rPr>
          <w:rFonts w:hint="default" w:ascii="Palatino Linotype" w:hAnsi="Palatino Linotype" w:cs="Courier"/>
          <w:lang w:val="pt-PT"/>
        </w:rPr>
        <w:t xml:space="preserve"> dos produtos</w:t>
      </w:r>
      <w:r>
        <w:rPr>
          <w:rFonts w:ascii="Palatino Linotype" w:hAnsi="Palatino Linotype" w:cs="Courier"/>
        </w:rPr>
        <w:t>;</w:t>
      </w:r>
    </w:p>
    <w:p w14:paraId="6884C407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7.2.3. Prestar o serviço em conformidade com disposto na Cláusula Segunda deste Contrato e de acordo com as normas técnicas inerentes aos serviços;</w:t>
      </w:r>
    </w:p>
    <w:p w14:paraId="615EB34A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7.2.4. Manter o Contratante informado sobre todas as ocorrências e andamentos da execução deste Contrato;</w:t>
      </w:r>
    </w:p>
    <w:p w14:paraId="37556D47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7.2.5. Manter sigilo na execução dos serviços;</w:t>
      </w:r>
    </w:p>
    <w:p w14:paraId="125F8F16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7.2.6. Aceitar acréscimos ou supressões nos limites previstos no art. 124, inciso I da Lei 14.133/2021;</w:t>
      </w:r>
    </w:p>
    <w:p w14:paraId="7B8E85FC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7.2.7. Manter todas as condições de habilitação durante toda a vigência do contrato.</w:t>
      </w:r>
    </w:p>
    <w:p w14:paraId="67C679DC">
      <w:pPr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spacing w:before="120" w:after="0" w:line="240" w:lineRule="auto"/>
        <w:jc w:val="center"/>
        <w:rPr>
          <w:rFonts w:ascii="Palatino Linotype" w:hAnsi="Palatino Linotype" w:cstheme="minorHAnsi"/>
          <w:b/>
          <w:bCs/>
        </w:rPr>
      </w:pPr>
      <w:r>
        <w:rPr>
          <w:rFonts w:ascii="Palatino Linotype" w:hAnsi="Palatino Linotype" w:cstheme="minorHAnsi"/>
          <w:b/>
          <w:bCs/>
        </w:rPr>
        <w:t>8. CLÁUSULA OITAVA – DA RESCISÃO</w:t>
      </w:r>
    </w:p>
    <w:p w14:paraId="1DEA213A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8.1. Constituem motivos para rescisão sem indenizações:</w:t>
      </w:r>
    </w:p>
    <w:p w14:paraId="6D703295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8.1.1. O descumprimento de qualquer das cláusulas deste Contrato;</w:t>
      </w:r>
    </w:p>
    <w:p w14:paraId="4DD89016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8.1.2. A subcontratação total ou parcial do seu objeto;</w:t>
      </w:r>
    </w:p>
    <w:p w14:paraId="52EA99A1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8.1.3. O cometimento reiterado de falta na sua execução;</w:t>
      </w:r>
    </w:p>
    <w:p w14:paraId="24481F4D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8.1.4. Razões de interesse público de alta relevância e amplo conhecimento devidamente justificados pela máxima autoridade da Administração e exarada no processo administrativo a que se refere o Contrato;</w:t>
      </w:r>
    </w:p>
    <w:p w14:paraId="68378D29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8.1.5. Ocorrência de caso fortuno ou força maior, regularmente comprovada impeditiva da execução do contrato;</w:t>
      </w:r>
    </w:p>
    <w:p w14:paraId="0C8D932F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 xml:space="preserve">8.2. É direito da Administração, em caso de rescisão administrativa, usar das prerrogativas do art. 137 a 139 da Lei nº 14.133/2021; </w:t>
      </w:r>
    </w:p>
    <w:p w14:paraId="2A6A0728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8.3. Extingue-se este contrato pelo transcurso normal do seu prazo;</w:t>
      </w:r>
    </w:p>
    <w:p w14:paraId="5029A2A1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8.4. A parte que der causa à rescisão do contrato, por inadimplemento, ficará sujeita a indenizar a outra dos prejuízos comprovados que esta vier a sofrer, além de multa no valor de 10% (dez por cento) do valor deste contrato.</w:t>
      </w:r>
    </w:p>
    <w:p w14:paraId="733231AA">
      <w:pPr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spacing w:before="120" w:after="0" w:line="240" w:lineRule="auto"/>
        <w:jc w:val="center"/>
        <w:rPr>
          <w:rFonts w:ascii="Palatino Linotype" w:hAnsi="Palatino Linotype" w:cstheme="minorHAnsi"/>
          <w:b/>
          <w:bCs/>
        </w:rPr>
      </w:pPr>
      <w:r>
        <w:rPr>
          <w:rFonts w:ascii="Palatino Linotype" w:hAnsi="Palatino Linotype" w:cstheme="minorHAnsi"/>
          <w:b/>
          <w:bCs/>
        </w:rPr>
        <w:t xml:space="preserve">9. CLÁUSULA NONA – DAS SANÇÕES </w:t>
      </w:r>
    </w:p>
    <w:p w14:paraId="6317AF31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9.1. Pela inexecução total ou parcial deste Contrato, a Administração poderá garantido o contraditório e a ampla defesa aplicar as seguintes sanções:</w:t>
      </w:r>
    </w:p>
    <w:p w14:paraId="73B9AF87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9.1.1. Advertência;</w:t>
      </w:r>
    </w:p>
    <w:p w14:paraId="26AD63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9.1.2. Multa Administrativa conforme a gravidade da infração não excedendo em seu total, o equivalente a 10% (dez por cento) do valor do contrato, cumulável com as demais sanções;</w:t>
      </w:r>
    </w:p>
    <w:p w14:paraId="2ED46B7F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9.1.3. Suspensão temporária de participação em licitação e impedimento de contratar com o Município, por prazo não superior a 02 (dois) anos;</w:t>
      </w:r>
    </w:p>
    <w:p w14:paraId="020A741D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 xml:space="preserve">9.1.4. Declaração de inidoneidade para licitar ou contratar com a Administração Pública, enquanto perdurarem os motivos determinantes da punição, ou até que seja promovida a reabilitação perante a própria autoridade que aplicou a penalidade, que será concedida sempre que o contratado ressarcir a Administração pelos prejuízos resultantes de acordo com o Art. 155 a 163 da Lei 14.133/2021; </w:t>
      </w:r>
    </w:p>
    <w:p w14:paraId="703C7E6F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 xml:space="preserve"> </w:t>
      </w:r>
    </w:p>
    <w:p w14:paraId="5D3E9915">
      <w:pPr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spacing w:before="120" w:after="0" w:line="240" w:lineRule="auto"/>
        <w:jc w:val="center"/>
        <w:rPr>
          <w:rFonts w:ascii="Palatino Linotype" w:hAnsi="Palatino Linotype" w:cstheme="minorHAnsi"/>
          <w:b/>
          <w:bCs/>
        </w:rPr>
      </w:pPr>
      <w:r>
        <w:rPr>
          <w:rFonts w:ascii="Palatino Linotype" w:hAnsi="Palatino Linotype" w:cstheme="minorHAnsi"/>
          <w:b/>
          <w:bCs/>
        </w:rPr>
        <w:t>10. CLÁUSULA DÉCIMA – DOS RECURSOS ORÇAMENTARIOS</w:t>
      </w:r>
    </w:p>
    <w:p w14:paraId="4D491C64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10.1. As despesas decorrentes deste instrumento, correrão por conta da classificação e dotação orçamentária abaixo especificada, e consignada no Orçamento Programa previsto para o corrente exercício.</w:t>
      </w:r>
    </w:p>
    <w:p w14:paraId="195FAC75">
      <w:pPr>
        <w:pStyle w:val="16"/>
        <w:rPr>
          <w:rFonts w:ascii="Palatino Linotype" w:hAnsi="Palatino Linotype"/>
          <w:highlight w:val="none"/>
        </w:rPr>
      </w:pPr>
      <w:r>
        <w:rPr>
          <w:rFonts w:ascii="Palatino Linotype" w:hAnsi="Palatino Linotype"/>
          <w:highlight w:val="none"/>
        </w:rPr>
        <w:t>01                                  -  Câmara municipal</w:t>
      </w:r>
    </w:p>
    <w:p w14:paraId="29639D4A">
      <w:pPr>
        <w:pStyle w:val="16"/>
        <w:rPr>
          <w:rFonts w:ascii="Palatino Linotype" w:hAnsi="Palatino Linotype"/>
          <w:highlight w:val="none"/>
        </w:rPr>
      </w:pPr>
      <w:r>
        <w:rPr>
          <w:rFonts w:ascii="Palatino Linotype" w:hAnsi="Palatino Linotype"/>
          <w:highlight w:val="none"/>
        </w:rPr>
        <w:t>01.031.0001.</w:t>
      </w:r>
      <w:r>
        <w:rPr>
          <w:rFonts w:hint="default" w:ascii="Palatino Linotype" w:hAnsi="Palatino Linotype"/>
          <w:highlight w:val="none"/>
          <w:lang w:val="pt-BR"/>
        </w:rPr>
        <w:t>1</w:t>
      </w:r>
      <w:r>
        <w:rPr>
          <w:rFonts w:ascii="Palatino Linotype" w:hAnsi="Palatino Linotype"/>
          <w:highlight w:val="none"/>
        </w:rPr>
        <w:t>00</w:t>
      </w:r>
      <w:r>
        <w:rPr>
          <w:rFonts w:hint="default" w:ascii="Palatino Linotype" w:hAnsi="Palatino Linotype"/>
          <w:highlight w:val="none"/>
          <w:lang w:val="pt-BR"/>
        </w:rPr>
        <w:t>1</w:t>
      </w:r>
      <w:r>
        <w:rPr>
          <w:rFonts w:ascii="Palatino Linotype" w:hAnsi="Palatino Linotype"/>
          <w:highlight w:val="none"/>
        </w:rPr>
        <w:t xml:space="preserve">         -  </w:t>
      </w:r>
      <w:r>
        <w:rPr>
          <w:rFonts w:hint="default" w:ascii="Palatino Linotype" w:hAnsi="Palatino Linotype"/>
          <w:highlight w:val="none"/>
          <w:lang w:val="pt-BR"/>
        </w:rPr>
        <w:t>Ampliação e Reforma do Prédio da Câmara Municipal</w:t>
      </w:r>
    </w:p>
    <w:p w14:paraId="58AC346B">
      <w:pPr>
        <w:pStyle w:val="16"/>
        <w:rPr>
          <w:rFonts w:hint="default" w:ascii="Palatino Linotype" w:hAnsi="Palatino Linotype"/>
          <w:highlight w:val="none"/>
          <w:lang w:val="pt-BR"/>
        </w:rPr>
      </w:pPr>
      <w:r>
        <w:rPr>
          <w:rFonts w:hint="default" w:ascii="Palatino Linotype" w:hAnsi="Palatino Linotype"/>
          <w:highlight w:val="none"/>
          <w:lang w:val="pt-BR"/>
        </w:rPr>
        <w:t>4</w:t>
      </w:r>
      <w:r>
        <w:rPr>
          <w:rFonts w:hint="default" w:ascii="Palatino Linotype" w:hAnsi="Palatino Linotype"/>
          <w:highlight w:val="none"/>
        </w:rPr>
        <w:t>.</w:t>
      </w:r>
      <w:r>
        <w:rPr>
          <w:rFonts w:hint="default" w:ascii="Palatino Linotype" w:hAnsi="Palatino Linotype"/>
          <w:highlight w:val="none"/>
          <w:lang w:val="pt-BR"/>
        </w:rPr>
        <w:t>4</w:t>
      </w:r>
      <w:r>
        <w:rPr>
          <w:rFonts w:hint="default" w:ascii="Palatino Linotype" w:hAnsi="Palatino Linotype"/>
          <w:highlight w:val="none"/>
        </w:rPr>
        <w:t>.90</w:t>
      </w:r>
      <w:r>
        <w:rPr>
          <w:rFonts w:hint="default" w:ascii="Palatino Linotype" w:hAnsi="Palatino Linotype"/>
          <w:highlight w:val="none"/>
          <w:lang w:val="pt-BR"/>
        </w:rPr>
        <w:tab/>
      </w:r>
      <w:r>
        <w:rPr>
          <w:rFonts w:hint="default" w:ascii="Palatino Linotype" w:hAnsi="Palatino Linotype"/>
          <w:highlight w:val="none"/>
        </w:rPr>
        <w:t xml:space="preserve"> </w:t>
      </w:r>
      <w:r>
        <w:rPr>
          <w:rFonts w:hint="default" w:ascii="Palatino Linotype" w:hAnsi="Palatino Linotype"/>
          <w:highlight w:val="none"/>
        </w:rPr>
        <w:tab/>
      </w:r>
      <w:r>
        <w:rPr>
          <w:rFonts w:hint="default" w:ascii="Palatino Linotype" w:hAnsi="Palatino Linotype"/>
          <w:highlight w:val="none"/>
          <w:lang w:val="pt-PT"/>
        </w:rPr>
        <w:tab/>
      </w:r>
      <w:r>
        <w:rPr>
          <w:rFonts w:hint="default" w:ascii="Palatino Linotype" w:hAnsi="Palatino Linotype"/>
          <w:highlight w:val="none"/>
        </w:rPr>
        <w:t xml:space="preserve">-  </w:t>
      </w:r>
      <w:r>
        <w:rPr>
          <w:rFonts w:hint="default" w:ascii="Palatino Linotype" w:hAnsi="Palatino Linotype"/>
          <w:highlight w:val="none"/>
          <w:lang w:val="pt-BR"/>
        </w:rPr>
        <w:t>Obras e Instalações</w:t>
      </w:r>
    </w:p>
    <w:p w14:paraId="60737C5D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10</w:t>
      </w:r>
      <w:r>
        <w:rPr>
          <w:rFonts w:ascii="Palatino Linotype" w:hAnsi="Palatino Linotype" w:cs="Courier"/>
        </w:rPr>
        <w:t>.2. A CONTRATANTE suplementará a dotação orçamentária, prevista no item anterior deste instrumento, toda vez que houver necessidade, para o fiel cumprimento das obrigações ora assumidas.</w:t>
      </w:r>
    </w:p>
    <w:p w14:paraId="4A8219B0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</w:p>
    <w:p w14:paraId="0EADBAC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autoSpaceDE w:val="0"/>
        <w:autoSpaceDN w:val="0"/>
        <w:adjustRightInd w:val="0"/>
        <w:spacing w:before="120" w:after="0" w:line="240" w:lineRule="auto"/>
        <w:jc w:val="center"/>
        <w:rPr>
          <w:rFonts w:ascii="Palatino Linotype" w:hAnsi="Palatino Linotype" w:cs="Courier"/>
          <w:b/>
          <w:bCs/>
        </w:rPr>
      </w:pPr>
      <w:r>
        <w:rPr>
          <w:rFonts w:ascii="Palatino Linotype" w:hAnsi="Palatino Linotype" w:cs="Courier"/>
          <w:b/>
          <w:bCs/>
        </w:rPr>
        <w:t xml:space="preserve">11. CLÁUSULA DÉCIMA PRIMEIRA – DO FORO </w:t>
      </w:r>
    </w:p>
    <w:p w14:paraId="3B1FAEB6">
      <w:pPr>
        <w:spacing w:before="120" w:after="0" w:line="240" w:lineRule="auto"/>
        <w:jc w:val="both"/>
        <w:rPr>
          <w:rFonts w:ascii="Palatino Linotype" w:hAnsi="Palatino Linotype" w:cstheme="minorHAnsi"/>
          <w:bCs/>
        </w:rPr>
      </w:pPr>
      <w:r>
        <w:rPr>
          <w:rFonts w:ascii="Palatino Linotype" w:hAnsi="Palatino Linotype" w:cstheme="minorHAnsi"/>
          <w:bCs/>
        </w:rPr>
        <w:t>11.1. O foro da Comarca de Jauru, Estado de Mato Grosso, é o competente para dirimir eventuais pendências acerca deste contrato, na forma da lei nacional de licitações, art. 92, § 2º.</w:t>
      </w:r>
    </w:p>
    <w:p w14:paraId="019699CC">
      <w:pPr>
        <w:spacing w:before="120" w:after="0" w:line="240" w:lineRule="auto"/>
        <w:jc w:val="both"/>
        <w:rPr>
          <w:rFonts w:ascii="Palatino Linotype" w:hAnsi="Palatino Linotype" w:cs="Courier"/>
        </w:rPr>
      </w:pPr>
    </w:p>
    <w:p w14:paraId="4BC38AF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spacing w:before="120" w:after="0" w:line="240" w:lineRule="auto"/>
        <w:jc w:val="center"/>
        <w:rPr>
          <w:rFonts w:ascii="Palatino Linotype" w:hAnsi="Palatino Linotype" w:cs="Courier"/>
          <w:b/>
          <w:bCs/>
        </w:rPr>
      </w:pPr>
      <w:r>
        <w:rPr>
          <w:rFonts w:ascii="Palatino Linotype" w:hAnsi="Palatino Linotype" w:cs="Courier"/>
          <w:b/>
          <w:bCs/>
        </w:rPr>
        <w:t>12. CLÁUSULA DÉCIMA SEGUNDA – DISPOSIÇÕES FINAIS</w:t>
      </w:r>
    </w:p>
    <w:p w14:paraId="113F32E5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</w:p>
    <w:p w14:paraId="18718028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12.1. Este contrato se sujeita ainda, no que couber, às Leis Municipais inerentes ao seu assunto e ao Código Civil Brasileiro. E, por estarem justos e contratados, assinam o presente instrumento em 02 (duas) vias de igual teor e forma, na presença de duas testemunhas.</w:t>
      </w:r>
    </w:p>
    <w:p w14:paraId="340BA738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</w:p>
    <w:p w14:paraId="2CE091D4">
      <w:pPr>
        <w:spacing w:before="120" w:after="0" w:line="240" w:lineRule="auto"/>
        <w:jc w:val="right"/>
        <w:rPr>
          <w:rFonts w:hint="default" w:ascii="Palatino Linotype" w:hAnsi="Palatino Linotype"/>
          <w:lang w:val="pt-BR"/>
        </w:rPr>
      </w:pPr>
      <w:r>
        <w:rPr>
          <w:rFonts w:ascii="Palatino Linotype" w:hAnsi="Palatino Linotype"/>
        </w:rPr>
        <w:t xml:space="preserve">Figueirópolis D’Oeste – MT, </w:t>
      </w:r>
      <w:r>
        <w:rPr>
          <w:rFonts w:hint="default" w:ascii="Palatino Linotype" w:hAnsi="Palatino Linotype"/>
          <w:color w:val="auto"/>
          <w:lang w:val="pt-BR"/>
        </w:rPr>
        <w:t>03</w:t>
      </w:r>
      <w:r>
        <w:rPr>
          <w:rFonts w:ascii="Palatino Linotype" w:hAnsi="Palatino Linotype"/>
        </w:rPr>
        <w:t xml:space="preserve"> de</w:t>
      </w:r>
      <w:r>
        <w:rPr>
          <w:rFonts w:hint="default" w:ascii="Palatino Linotype" w:hAnsi="Palatino Linotype"/>
          <w:lang w:val="pt-BR"/>
        </w:rPr>
        <w:t xml:space="preserve"> Agosto </w:t>
      </w:r>
      <w:r>
        <w:rPr>
          <w:rFonts w:ascii="Palatino Linotype" w:hAnsi="Palatino Linotype"/>
        </w:rPr>
        <w:t>de 20</w:t>
      </w:r>
      <w:r>
        <w:rPr>
          <w:rFonts w:hint="default" w:ascii="Palatino Linotype" w:hAnsi="Palatino Linotype"/>
          <w:lang w:val="pt-BR"/>
        </w:rPr>
        <w:t>26</w:t>
      </w:r>
    </w:p>
    <w:p w14:paraId="064D7A97">
      <w:pPr>
        <w:spacing w:before="120" w:after="0" w:line="240" w:lineRule="auto"/>
        <w:jc w:val="both"/>
        <w:rPr>
          <w:rFonts w:ascii="Palatino Linotype" w:hAnsi="Palatino Linotype"/>
        </w:rPr>
      </w:pPr>
    </w:p>
    <w:p w14:paraId="1E2B5C45">
      <w:pPr>
        <w:spacing w:before="120" w:after="0" w:line="240" w:lineRule="auto"/>
        <w:jc w:val="both"/>
        <w:rPr>
          <w:rFonts w:ascii="Palatino Linotype" w:hAnsi="Palatino Linotype"/>
        </w:rPr>
      </w:pPr>
    </w:p>
    <w:tbl>
      <w:tblPr>
        <w:tblStyle w:val="11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2"/>
        <w:gridCol w:w="4392"/>
      </w:tblGrid>
      <w:tr w14:paraId="00E6E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705A325D">
            <w:pPr>
              <w:pBdr>
                <w:bottom w:val="single" w:color="auto" w:sz="12" w:space="1"/>
              </w:pBdr>
              <w:spacing w:after="0" w:line="276" w:lineRule="auto"/>
              <w:ind w:right="-252"/>
              <w:jc w:val="both"/>
              <w:rPr>
                <w:rFonts w:ascii="Palatino Linotype" w:hAnsi="Palatino Linotype"/>
                <w:b/>
                <w:bCs/>
              </w:rPr>
            </w:pPr>
          </w:p>
          <w:p w14:paraId="3672F18D">
            <w:pPr>
              <w:spacing w:after="0" w:line="276" w:lineRule="auto"/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CAMARA MUNICIPAL DE FIGUEIRÓPOLIS D’OESTE</w:t>
            </w:r>
          </w:p>
          <w:p w14:paraId="75D2FB09">
            <w:pPr>
              <w:spacing w:after="0" w:line="276" w:lineRule="auto"/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CONTRATANTE</w:t>
            </w:r>
          </w:p>
        </w:tc>
        <w:tc>
          <w:tcPr>
            <w:tcW w:w="4392" w:type="dxa"/>
          </w:tcPr>
          <w:p w14:paraId="690F83E5">
            <w:pPr>
              <w:pBdr>
                <w:bottom w:val="single" w:color="auto" w:sz="12" w:space="1"/>
              </w:pBdr>
              <w:spacing w:after="0" w:line="276" w:lineRule="auto"/>
              <w:ind w:right="-252"/>
              <w:jc w:val="both"/>
              <w:rPr>
                <w:rFonts w:ascii="Palatino Linotype" w:hAnsi="Palatino Linotype"/>
                <w:b/>
                <w:bCs/>
              </w:rPr>
            </w:pPr>
          </w:p>
          <w:p w14:paraId="01F3A365">
            <w:pPr>
              <w:spacing w:after="0" w:line="276" w:lineRule="auto"/>
              <w:ind w:right="-252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                           CONTRATADA</w:t>
            </w:r>
          </w:p>
        </w:tc>
      </w:tr>
      <w:tr w14:paraId="08246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68B9287F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</w:p>
          <w:p w14:paraId="3B8312F8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</w:p>
          <w:p w14:paraId="024A7FF7">
            <w:pPr>
              <w:spacing w:after="0" w:line="276" w:lineRule="auto"/>
              <w:jc w:val="both"/>
              <w:rPr>
                <w:rFonts w:ascii="Palatino Linotype" w:hAnsi="Palatino Linotype"/>
                <w:b/>
                <w:bCs/>
                <w:u w:val="single"/>
              </w:rPr>
            </w:pPr>
            <w:r>
              <w:rPr>
                <w:rFonts w:ascii="Palatino Linotype" w:hAnsi="Palatino Linotype"/>
                <w:b/>
                <w:bCs/>
                <w:u w:val="single"/>
              </w:rPr>
              <w:t>Testemunhas:</w:t>
            </w:r>
          </w:p>
          <w:p w14:paraId="4D529255">
            <w:pPr>
              <w:spacing w:after="0" w:line="276" w:lineRule="auto"/>
              <w:jc w:val="both"/>
              <w:rPr>
                <w:rFonts w:ascii="Palatino Linotype" w:hAnsi="Palatino Linotype"/>
                <w:b/>
                <w:bCs/>
                <w:u w:val="single"/>
              </w:rPr>
            </w:pPr>
          </w:p>
          <w:p w14:paraId="3CFC4303">
            <w:pPr>
              <w:spacing w:after="0" w:line="276" w:lineRule="auto"/>
              <w:jc w:val="both"/>
              <w:rPr>
                <w:rFonts w:ascii="Palatino Linotype" w:hAnsi="Palatino Linotype"/>
                <w:b/>
                <w:bCs/>
                <w:u w:val="single"/>
              </w:rPr>
            </w:pPr>
          </w:p>
        </w:tc>
        <w:tc>
          <w:tcPr>
            <w:tcW w:w="4392" w:type="dxa"/>
          </w:tcPr>
          <w:p w14:paraId="547B82EB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</w:p>
        </w:tc>
      </w:tr>
      <w:tr w14:paraId="6E3CF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4F2EDE48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</w:p>
          <w:p w14:paraId="09AC0512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_________________________________________</w:t>
            </w:r>
          </w:p>
          <w:p w14:paraId="49D429A0">
            <w:pPr>
              <w:spacing w:after="0" w:line="276" w:lineRule="auto"/>
              <w:jc w:val="center"/>
              <w:rPr>
                <w:rFonts w:hint="default" w:ascii="Palatino Linotype" w:hAnsi="Palatino Linotype"/>
                <w:lang w:val="pt-BR"/>
              </w:rPr>
            </w:pPr>
            <w:r>
              <w:rPr>
                <w:rFonts w:hint="default" w:ascii="Palatino Linotype" w:hAnsi="Palatino Linotype"/>
                <w:lang w:val="pt-BR"/>
              </w:rPr>
              <w:t>Assinatura Digital</w:t>
            </w:r>
          </w:p>
        </w:tc>
        <w:tc>
          <w:tcPr>
            <w:tcW w:w="4392" w:type="dxa"/>
          </w:tcPr>
          <w:p w14:paraId="2FBB2577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</w:p>
          <w:p w14:paraId="32E3AF1F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_____________________________________</w:t>
            </w:r>
          </w:p>
          <w:p w14:paraId="57CBB22F">
            <w:pPr>
              <w:spacing w:after="0" w:line="276" w:lineRule="auto"/>
              <w:jc w:val="center"/>
              <w:rPr>
                <w:rFonts w:hint="default" w:ascii="Palatino Linotype" w:hAnsi="Palatino Linotype"/>
                <w:lang w:val="pt-BR"/>
              </w:rPr>
            </w:pPr>
            <w:r>
              <w:rPr>
                <w:rFonts w:hint="default" w:ascii="Palatino Linotype" w:hAnsi="Palatino Linotype"/>
                <w:lang w:val="pt-BR"/>
              </w:rPr>
              <w:t>Assinatura Digital</w:t>
            </w:r>
          </w:p>
        </w:tc>
      </w:tr>
    </w:tbl>
    <w:p w14:paraId="39A613B5">
      <w:pPr>
        <w:spacing w:before="120" w:after="0" w:line="240" w:lineRule="auto"/>
        <w:jc w:val="both"/>
        <w:rPr>
          <w:rFonts w:ascii="Palatino Linotype" w:hAnsi="Palatino Linotype"/>
        </w:rPr>
      </w:pPr>
    </w:p>
    <w:sectPr>
      <w:headerReference r:id="rId5" w:type="default"/>
      <w:pgSz w:w="11906" w:h="16838"/>
      <w:pgMar w:top="1418" w:right="1134" w:bottom="709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15117B">
    <w:pPr>
      <w:pStyle w:val="8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i/>
        <w:sz w:val="56"/>
      </w:rPr>
      <w:drawing>
        <wp:inline distT="0" distB="0" distL="0" distR="0">
          <wp:extent cx="1152525" cy="1085850"/>
          <wp:effectExtent l="0" t="0" r="9525" b="0"/>
          <wp:docPr id="6" name="Imagem 6" descr="Descrição: Descrição: 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 descr="Descrição: Descrição: 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25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91C070">
    <w:pPr>
      <w:pStyle w:val="8"/>
      <w:tabs>
        <w:tab w:val="left" w:pos="2366"/>
        <w:tab w:val="center" w:pos="5057"/>
      </w:tabs>
      <w:ind w:left="-284" w:right="-993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052032A6">
    <w:pPr>
      <w:pStyle w:val="8"/>
      <w:tabs>
        <w:tab w:val="right" w:pos="8760"/>
      </w:tabs>
      <w:ind w:left="-284" w:right="-993"/>
      <w:jc w:val="center"/>
      <w:rPr>
        <w:rFonts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03F0E7FD">
    <w:pPr>
      <w:pStyle w:val="8"/>
      <w:pBdr>
        <w:top w:val="double" w:color="auto" w:sz="4" w:space="5"/>
      </w:pBdr>
      <w:ind w:left="-1200" w:right="-879"/>
      <w:jc w:val="center"/>
      <w:rPr>
        <w:b/>
        <w:bCs/>
        <w:i/>
        <w:iCs/>
        <w:sz w:val="4"/>
        <w:szCs w:val="4"/>
      </w:rPr>
    </w:pPr>
  </w:p>
  <w:p w14:paraId="20781486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943797"/>
    <w:multiLevelType w:val="singleLevel"/>
    <w:tmpl w:val="0E943797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1D5C100D"/>
    <w:multiLevelType w:val="multilevel"/>
    <w:tmpl w:val="1D5C100D"/>
    <w:lvl w:ilvl="0" w:tentative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entative="0">
      <w:start w:val="1"/>
      <w:numFmt w:val="decimal"/>
      <w:lvlText w:val="%1.%2."/>
      <w:lvlJc w:val="left"/>
      <w:pPr>
        <w:ind w:left="1992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 w:tentative="0">
      <w:start w:val="1"/>
      <w:numFmt w:val="decimal"/>
      <w:pStyle w:val="22"/>
      <w:lvlText w:val="%1.%2.%3."/>
      <w:lvlJc w:val="left"/>
      <w:pPr>
        <w:ind w:left="3198" w:hanging="504"/>
      </w:pPr>
      <w:rPr>
        <w:rFonts w:hint="default" w:ascii="Arial" w:hAnsi="Arial"/>
        <w:b w:val="0"/>
        <w:i w:val="0"/>
        <w:strike w:val="0"/>
        <w:color w:val="auto"/>
        <w:sz w:val="20"/>
        <w:szCs w:val="20"/>
      </w:rPr>
    </w:lvl>
    <w:lvl w:ilvl="3" w:tentative="0">
      <w:start w:val="1"/>
      <w:numFmt w:val="decimal"/>
      <w:lvlText w:val="%1.%2.%3.%4."/>
      <w:lvlJc w:val="left"/>
      <w:pPr>
        <w:ind w:left="2491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42C3"/>
    <w:rsid w:val="00017479"/>
    <w:rsid w:val="0002010E"/>
    <w:rsid w:val="000258A7"/>
    <w:rsid w:val="00086EDF"/>
    <w:rsid w:val="00092EFE"/>
    <w:rsid w:val="000A1BE2"/>
    <w:rsid w:val="00100F4D"/>
    <w:rsid w:val="001066A1"/>
    <w:rsid w:val="00132C46"/>
    <w:rsid w:val="0013454B"/>
    <w:rsid w:val="00144471"/>
    <w:rsid w:val="0015274B"/>
    <w:rsid w:val="001550F4"/>
    <w:rsid w:val="001653EA"/>
    <w:rsid w:val="0017273E"/>
    <w:rsid w:val="001728D9"/>
    <w:rsid w:val="0017520D"/>
    <w:rsid w:val="0017586C"/>
    <w:rsid w:val="001B5E76"/>
    <w:rsid w:val="001C4A55"/>
    <w:rsid w:val="001D28F5"/>
    <w:rsid w:val="001E3FAD"/>
    <w:rsid w:val="00201A08"/>
    <w:rsid w:val="00203F36"/>
    <w:rsid w:val="0021138E"/>
    <w:rsid w:val="00226551"/>
    <w:rsid w:val="00226C3B"/>
    <w:rsid w:val="00234A42"/>
    <w:rsid w:val="00240E19"/>
    <w:rsid w:val="00255FBD"/>
    <w:rsid w:val="0027111E"/>
    <w:rsid w:val="00287891"/>
    <w:rsid w:val="00293E05"/>
    <w:rsid w:val="002A31BA"/>
    <w:rsid w:val="002C2AA6"/>
    <w:rsid w:val="002C47D9"/>
    <w:rsid w:val="002D6181"/>
    <w:rsid w:val="002E0472"/>
    <w:rsid w:val="00300D86"/>
    <w:rsid w:val="003233E9"/>
    <w:rsid w:val="003260D7"/>
    <w:rsid w:val="00346FDC"/>
    <w:rsid w:val="00350A76"/>
    <w:rsid w:val="00352F2E"/>
    <w:rsid w:val="003549D0"/>
    <w:rsid w:val="0035528F"/>
    <w:rsid w:val="00363C13"/>
    <w:rsid w:val="0038123A"/>
    <w:rsid w:val="003C1AAA"/>
    <w:rsid w:val="00413A7D"/>
    <w:rsid w:val="00440641"/>
    <w:rsid w:val="00443BA5"/>
    <w:rsid w:val="004468D7"/>
    <w:rsid w:val="00483007"/>
    <w:rsid w:val="004C4DEE"/>
    <w:rsid w:val="004D708C"/>
    <w:rsid w:val="004E3EC2"/>
    <w:rsid w:val="004F461D"/>
    <w:rsid w:val="00521402"/>
    <w:rsid w:val="00526F22"/>
    <w:rsid w:val="0055471A"/>
    <w:rsid w:val="00555858"/>
    <w:rsid w:val="00565213"/>
    <w:rsid w:val="00565737"/>
    <w:rsid w:val="005A10D9"/>
    <w:rsid w:val="005C28B2"/>
    <w:rsid w:val="005C4591"/>
    <w:rsid w:val="005D1098"/>
    <w:rsid w:val="0060581A"/>
    <w:rsid w:val="00612DB2"/>
    <w:rsid w:val="006143C7"/>
    <w:rsid w:val="00652A3A"/>
    <w:rsid w:val="0066757A"/>
    <w:rsid w:val="006719DC"/>
    <w:rsid w:val="00671AFA"/>
    <w:rsid w:val="006759A3"/>
    <w:rsid w:val="00682FCF"/>
    <w:rsid w:val="006A6D54"/>
    <w:rsid w:val="006C774F"/>
    <w:rsid w:val="006D64F8"/>
    <w:rsid w:val="006E2594"/>
    <w:rsid w:val="006E3510"/>
    <w:rsid w:val="006F3212"/>
    <w:rsid w:val="007001BB"/>
    <w:rsid w:val="007012DF"/>
    <w:rsid w:val="00701E2F"/>
    <w:rsid w:val="00706022"/>
    <w:rsid w:val="00725C42"/>
    <w:rsid w:val="00733869"/>
    <w:rsid w:val="007F38D6"/>
    <w:rsid w:val="008100C3"/>
    <w:rsid w:val="00813EDF"/>
    <w:rsid w:val="00884F92"/>
    <w:rsid w:val="008A01B2"/>
    <w:rsid w:val="008E569F"/>
    <w:rsid w:val="0090176B"/>
    <w:rsid w:val="009079AA"/>
    <w:rsid w:val="00914131"/>
    <w:rsid w:val="00944CCD"/>
    <w:rsid w:val="00965E42"/>
    <w:rsid w:val="00986B43"/>
    <w:rsid w:val="009B7A46"/>
    <w:rsid w:val="009C14A3"/>
    <w:rsid w:val="009D3160"/>
    <w:rsid w:val="00A05BA7"/>
    <w:rsid w:val="00A1459E"/>
    <w:rsid w:val="00A3286C"/>
    <w:rsid w:val="00A879E0"/>
    <w:rsid w:val="00A93D68"/>
    <w:rsid w:val="00A954F1"/>
    <w:rsid w:val="00AA211B"/>
    <w:rsid w:val="00AB2721"/>
    <w:rsid w:val="00AB4D0A"/>
    <w:rsid w:val="00AB7983"/>
    <w:rsid w:val="00AC7D7F"/>
    <w:rsid w:val="00AE1292"/>
    <w:rsid w:val="00AF325F"/>
    <w:rsid w:val="00B2585F"/>
    <w:rsid w:val="00B477DF"/>
    <w:rsid w:val="00B56A25"/>
    <w:rsid w:val="00B76255"/>
    <w:rsid w:val="00B82AAD"/>
    <w:rsid w:val="00B93CD4"/>
    <w:rsid w:val="00BB75A8"/>
    <w:rsid w:val="00BF1A44"/>
    <w:rsid w:val="00BF4B2A"/>
    <w:rsid w:val="00C056B1"/>
    <w:rsid w:val="00C12F23"/>
    <w:rsid w:val="00C330EE"/>
    <w:rsid w:val="00C43808"/>
    <w:rsid w:val="00C52134"/>
    <w:rsid w:val="00C73542"/>
    <w:rsid w:val="00C97BEC"/>
    <w:rsid w:val="00CD6EE8"/>
    <w:rsid w:val="00CE4602"/>
    <w:rsid w:val="00CF157C"/>
    <w:rsid w:val="00CF57C1"/>
    <w:rsid w:val="00D010EA"/>
    <w:rsid w:val="00D634CB"/>
    <w:rsid w:val="00D70B70"/>
    <w:rsid w:val="00D81577"/>
    <w:rsid w:val="00D83A12"/>
    <w:rsid w:val="00D93B1E"/>
    <w:rsid w:val="00D94605"/>
    <w:rsid w:val="00DB6899"/>
    <w:rsid w:val="00DB7677"/>
    <w:rsid w:val="00DC51D6"/>
    <w:rsid w:val="00DE6E43"/>
    <w:rsid w:val="00E16F2E"/>
    <w:rsid w:val="00E32D63"/>
    <w:rsid w:val="00E512CE"/>
    <w:rsid w:val="00E52E8B"/>
    <w:rsid w:val="00E566E0"/>
    <w:rsid w:val="00E662D3"/>
    <w:rsid w:val="00E8044C"/>
    <w:rsid w:val="00EC3AC7"/>
    <w:rsid w:val="00EE61DE"/>
    <w:rsid w:val="00F444F3"/>
    <w:rsid w:val="00F502AC"/>
    <w:rsid w:val="00F53BA9"/>
    <w:rsid w:val="00F63D16"/>
    <w:rsid w:val="00F8566E"/>
    <w:rsid w:val="00F93950"/>
    <w:rsid w:val="00F96E14"/>
    <w:rsid w:val="00FA1127"/>
    <w:rsid w:val="00FB5C8D"/>
    <w:rsid w:val="00FC22E2"/>
    <w:rsid w:val="00FE12C6"/>
    <w:rsid w:val="00FF6B23"/>
    <w:rsid w:val="03893DD3"/>
    <w:rsid w:val="0E010A88"/>
    <w:rsid w:val="11F2677F"/>
    <w:rsid w:val="139826CB"/>
    <w:rsid w:val="16556BF5"/>
    <w:rsid w:val="1E4551F2"/>
    <w:rsid w:val="24E44D67"/>
    <w:rsid w:val="35886296"/>
    <w:rsid w:val="3AE9699C"/>
    <w:rsid w:val="3CC73962"/>
    <w:rsid w:val="4136400B"/>
    <w:rsid w:val="464F3A43"/>
    <w:rsid w:val="49AC016B"/>
    <w:rsid w:val="4B5C462F"/>
    <w:rsid w:val="505D2D25"/>
    <w:rsid w:val="53547C42"/>
    <w:rsid w:val="5A620CB1"/>
    <w:rsid w:val="69151AF1"/>
    <w:rsid w:val="78290A2B"/>
    <w:rsid w:val="78CA4C7D"/>
    <w:rsid w:val="7BFDF97A"/>
    <w:rsid w:val="7C4E697D"/>
    <w:rsid w:val="7C65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character" w:styleId="5">
    <w:name w:val="Hyperlink"/>
    <w:basedOn w:val="2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ody Text"/>
    <w:basedOn w:val="1"/>
    <w:link w:val="17"/>
    <w:qFormat/>
    <w:uiPriority w:val="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eastAsia="Times New Roman" w:cs="Times New Roman"/>
      <w:sz w:val="28"/>
      <w:szCs w:val="20"/>
      <w:lang w:eastAsia="pt-BR"/>
    </w:r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8">
    <w:name w:val="header"/>
    <w:basedOn w:val="1"/>
    <w:link w:val="13"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styleId="9">
    <w:name w:val="footer"/>
    <w:basedOn w:val="1"/>
    <w:link w:val="14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0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11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List Paragraph"/>
    <w:basedOn w:val="1"/>
    <w:qFormat/>
    <w:uiPriority w:val="1"/>
    <w:pPr>
      <w:ind w:left="720"/>
      <w:contextualSpacing/>
    </w:pPr>
  </w:style>
  <w:style w:type="character" w:customStyle="1" w:styleId="13">
    <w:name w:val="Cabeçalho Char"/>
    <w:basedOn w:val="2"/>
    <w:link w:val="8"/>
    <w:qFormat/>
    <w:uiPriority w:val="99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14">
    <w:name w:val="Rodapé Char"/>
    <w:basedOn w:val="2"/>
    <w:link w:val="9"/>
    <w:qFormat/>
    <w:uiPriority w:val="99"/>
  </w:style>
  <w:style w:type="character" w:customStyle="1" w:styleId="15">
    <w:name w:val="Texto de balão Char"/>
    <w:basedOn w:val="2"/>
    <w:link w:val="10"/>
    <w:semiHidden/>
    <w:qFormat/>
    <w:uiPriority w:val="99"/>
    <w:rPr>
      <w:rFonts w:ascii="Segoe UI" w:hAnsi="Segoe UI" w:cs="Segoe UI"/>
      <w:sz w:val="18"/>
      <w:szCs w:val="18"/>
    </w:rPr>
  </w:style>
  <w:style w:type="paragraph" w:styleId="1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customStyle="1" w:styleId="17">
    <w:name w:val="Corpo de texto Char"/>
    <w:basedOn w:val="2"/>
    <w:link w:val="6"/>
    <w:qFormat/>
    <w:uiPriority w:val="0"/>
    <w:rPr>
      <w:rFonts w:ascii="Times New Roman" w:hAnsi="Times New Roman" w:eastAsia="Times New Roman" w:cs="Times New Roman"/>
      <w:sz w:val="28"/>
      <w:szCs w:val="20"/>
      <w:lang w:eastAsia="pt-BR"/>
    </w:rPr>
  </w:style>
  <w:style w:type="paragraph" w:customStyle="1" w:styleId="18">
    <w:name w:val="Rodapé1"/>
    <w:basedOn w:val="1"/>
    <w:unhideWhenUsed/>
    <w:qFormat/>
    <w:uiPriority w:val="99"/>
    <w:pPr>
      <w:tabs>
        <w:tab w:val="center" w:pos="4252"/>
        <w:tab w:val="right" w:pos="8504"/>
      </w:tabs>
    </w:pPr>
    <w:rPr>
      <w:rFonts w:hint="default"/>
      <w:color w:val="auto"/>
      <w:sz w:val="22"/>
      <w:szCs w:val="22"/>
    </w:rPr>
  </w:style>
  <w:style w:type="paragraph" w:customStyle="1" w:styleId="19">
    <w:name w:val="Cabeçalho1"/>
    <w:basedOn w:val="1"/>
    <w:unhideWhenUsed/>
    <w:qFormat/>
    <w:uiPriority w:val="99"/>
    <w:pPr>
      <w:tabs>
        <w:tab w:val="center" w:pos="4252"/>
        <w:tab w:val="right" w:pos="8504"/>
      </w:tabs>
    </w:pPr>
    <w:rPr>
      <w:rFonts w:hint="default"/>
      <w:color w:val="auto"/>
      <w:sz w:val="22"/>
      <w:szCs w:val="22"/>
    </w:rPr>
  </w:style>
  <w:style w:type="paragraph" w:customStyle="1" w:styleId="20">
    <w:name w:val="Corpo do texto"/>
    <w:basedOn w:val="1"/>
    <w:unhideWhenUsed/>
    <w:qFormat/>
    <w:uiPriority w:val="99"/>
    <w:rPr>
      <w:rFonts w:hint="default"/>
      <w:color w:val="auto"/>
      <w:sz w:val="24"/>
      <w:szCs w:val="24"/>
    </w:rPr>
  </w:style>
  <w:style w:type="paragraph" w:customStyle="1" w:styleId="21">
    <w:name w:val="Nível 3-R"/>
    <w:basedOn w:val="22"/>
    <w:qFormat/>
    <w:uiPriority w:val="0"/>
    <w:pPr>
      <w:numPr>
        <w:ilvl w:val="0"/>
        <w:numId w:val="0"/>
      </w:numPr>
    </w:pPr>
    <w:rPr>
      <w:i/>
      <w:iCs/>
      <w:color w:val="FF0000"/>
    </w:rPr>
  </w:style>
  <w:style w:type="paragraph" w:customStyle="1" w:styleId="22">
    <w:name w:val="Nivel 3"/>
    <w:basedOn w:val="1"/>
    <w:qFormat/>
    <w:uiPriority w:val="0"/>
    <w:pPr>
      <w:numPr>
        <w:ilvl w:val="2"/>
        <w:numId w:val="1"/>
      </w:numPr>
      <w:spacing w:before="120" w:after="120" w:line="276" w:lineRule="auto"/>
      <w:jc w:val="both"/>
    </w:pPr>
    <w:rPr>
      <w:rFonts w:ascii="Arial" w:hAnsi="Arial" w:cs="Arial" w:eastAsiaTheme="minorEastAsia"/>
      <w:color w:val="000000"/>
      <w:sz w:val="20"/>
      <w:szCs w:val="20"/>
    </w:rPr>
  </w:style>
  <w:style w:type="table" w:customStyle="1" w:styleId="23">
    <w:name w:val="Tabela com grade2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3156</Words>
  <Characters>17115</Characters>
  <Lines>64</Lines>
  <Paragraphs>18</Paragraphs>
  <TotalTime>86</TotalTime>
  <ScaleCrop>false</ScaleCrop>
  <LinksUpToDate>false</LinksUpToDate>
  <CharactersWithSpaces>20078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2023-05-16T10:02:00Z</dcterms:created>
  <dc:creator>paulo cezar rebuli</dc:creator>
  <cp:lastModifiedBy>WPS_1776263096</cp:lastModifiedBy>
  <cp:lastPrinted>2026-08-05T12:49:09Z</cp:lastPrinted>
  <dcterms:modified xsi:type="dcterms:W3CDTF">2026-08-05T12:59:24Z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1046-12.1.0.27458</vt:lpwstr>
  </property>
  <property fmtid="{D5CDD505-2E9C-101B-9397-08002B2CF9AE}" pid="3" name="ICV">
    <vt:lpwstr>1870A75D13AF4E448D2EBD0FF7F3659F_13</vt:lpwstr>
  </property>
  <property fmtid="{D5CDD505-2E9C-101B-9397-08002B2CF9AE}" pid="4" name="KSOTemplateDocerSaveRecord">
    <vt:lpwstr>eyJoZGlkIjoiMzc1MzBmODMzMzU2OThlNzk0ZmFiMDNjNTRhYzNlZWYiLCJ1c2VySWQiOiIxMjM2OTUxMTE1ODcyIn0=</vt:lpwstr>
  </property>
</Properties>
</file>