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6"/>
        <w:gridCol w:w="1699"/>
        <w:gridCol w:w="6223"/>
      </w:tblGrid>
      <w:tr w14:paraId="28434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Merge w:val="restart"/>
            <w:vAlign w:val="center"/>
          </w:tcPr>
          <w:p w14:paraId="46243745">
            <w:pPr>
              <w:spacing w:line="240" w:lineRule="auto"/>
              <w:jc w:val="center"/>
            </w:pPr>
            <w:r>
              <w:rPr>
                <w:b/>
              </w:rPr>
              <w:t>Contrato</w:t>
            </w:r>
            <w:r>
              <w:rPr>
                <w:b/>
              </w:rPr>
              <w:br w:type="textWrapping"/>
            </w:r>
            <w:r>
              <w:rPr>
                <w:b/>
              </w:rPr>
              <w:t>Administrativo</w:t>
            </w:r>
            <w:r>
              <w:rPr>
                <w:b/>
              </w:rPr>
              <w:br w:type="textWrapping"/>
            </w:r>
            <w:r>
              <w:rPr>
                <w:b/>
              </w:rPr>
              <w:t>Nº 03/2026</w:t>
            </w:r>
          </w:p>
        </w:tc>
        <w:tc>
          <w:tcPr>
            <w:tcW w:w="6237" w:type="dxa"/>
            <w:gridSpan w:val="2"/>
            <w:shd w:val="clear" w:color="auto" w:fill="EEEEEE"/>
            <w:vAlign w:val="center"/>
          </w:tcPr>
          <w:p w14:paraId="1ACEA84C">
            <w:pPr>
              <w:spacing w:line="240" w:lineRule="auto"/>
              <w:jc w:val="center"/>
            </w:pPr>
            <w:r>
              <w:rPr>
                <w:b/>
              </w:rPr>
              <w:t>Súmula</w:t>
            </w:r>
          </w:p>
        </w:tc>
      </w:tr>
      <w:tr w14:paraId="6B57F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4" w:type="dxa"/>
            <w:vMerge w:val="continue"/>
          </w:tcPr>
          <w:p w14:paraId="078B884F">
            <w:pPr>
              <w:spacing w:line="240" w:lineRule="auto"/>
            </w:pPr>
          </w:p>
        </w:tc>
        <w:tc>
          <w:tcPr>
            <w:tcW w:w="1701" w:type="dxa"/>
            <w:vAlign w:val="center"/>
          </w:tcPr>
          <w:p w14:paraId="357A84B8">
            <w:pPr>
              <w:spacing w:line="240" w:lineRule="auto"/>
              <w:jc w:val="both"/>
            </w:pPr>
            <w:r>
              <w:rPr>
                <w:b/>
              </w:rPr>
              <w:t>Origem</w:t>
            </w:r>
          </w:p>
        </w:tc>
        <w:tc>
          <w:tcPr>
            <w:tcW w:w="6237" w:type="dxa"/>
            <w:vAlign w:val="center"/>
          </w:tcPr>
          <w:p w14:paraId="7793A48F">
            <w:pPr>
              <w:spacing w:line="240" w:lineRule="auto"/>
              <w:jc w:val="both"/>
            </w:pPr>
            <w:r>
              <w:rPr>
                <w:b w:val="0"/>
              </w:rPr>
              <w:t>Inexigibilidade de licitação nº 01/2026.</w:t>
            </w:r>
          </w:p>
        </w:tc>
      </w:tr>
      <w:tr w14:paraId="6A654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4" w:type="dxa"/>
            <w:vMerge w:val="continue"/>
          </w:tcPr>
          <w:p w14:paraId="4B1C2D16">
            <w:pPr>
              <w:spacing w:line="240" w:lineRule="auto"/>
            </w:pPr>
          </w:p>
        </w:tc>
        <w:tc>
          <w:tcPr>
            <w:tcW w:w="1701" w:type="dxa"/>
            <w:vAlign w:val="center"/>
          </w:tcPr>
          <w:p w14:paraId="54820821">
            <w:pPr>
              <w:spacing w:line="240" w:lineRule="auto"/>
              <w:jc w:val="both"/>
            </w:pPr>
            <w:r>
              <w:rPr>
                <w:b/>
              </w:rPr>
              <w:t>Objeto</w:t>
            </w:r>
          </w:p>
        </w:tc>
        <w:tc>
          <w:tcPr>
            <w:tcW w:w="6237" w:type="dxa"/>
            <w:vAlign w:val="center"/>
          </w:tcPr>
          <w:p w14:paraId="0ACEDD4E">
            <w:pPr>
              <w:spacing w:line="240" w:lineRule="auto"/>
              <w:jc w:val="both"/>
            </w:pPr>
            <w:r>
              <w:rPr>
                <w:b w:val="0"/>
              </w:rPr>
              <w:t>Contratação de consultoria especializada para proceder à atualização da Lei Orgânica Municipal e do Regimento Interno, bem como para promover sua implantação, visando assegurar a conformidade normativa e aperfeiçoar os procedimentos legislativos no âmbito municipal.</w:t>
            </w:r>
          </w:p>
        </w:tc>
      </w:tr>
      <w:tr w14:paraId="3F967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4" w:type="dxa"/>
            <w:vMerge w:val="continue"/>
          </w:tcPr>
          <w:p w14:paraId="560096C6">
            <w:pPr>
              <w:spacing w:line="240" w:lineRule="auto"/>
            </w:pPr>
          </w:p>
        </w:tc>
        <w:tc>
          <w:tcPr>
            <w:tcW w:w="1701" w:type="dxa"/>
            <w:vAlign w:val="center"/>
          </w:tcPr>
          <w:p w14:paraId="672B4422">
            <w:pPr>
              <w:spacing w:line="240" w:lineRule="auto"/>
              <w:jc w:val="both"/>
            </w:pPr>
            <w:r>
              <w:rPr>
                <w:b/>
              </w:rPr>
              <w:t>Valor</w:t>
            </w:r>
          </w:p>
        </w:tc>
        <w:tc>
          <w:tcPr>
            <w:tcW w:w="6237" w:type="dxa"/>
            <w:vAlign w:val="center"/>
          </w:tcPr>
          <w:p w14:paraId="56240487">
            <w:pPr>
              <w:spacing w:line="240" w:lineRule="auto"/>
              <w:jc w:val="both"/>
            </w:pPr>
            <w:r>
              <w:rPr>
                <w:b w:val="0"/>
              </w:rPr>
              <w:t>R$ 60.000,00</w:t>
            </w:r>
          </w:p>
        </w:tc>
      </w:tr>
      <w:tr w14:paraId="12BE3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4" w:type="dxa"/>
            <w:vMerge w:val="continue"/>
          </w:tcPr>
          <w:p w14:paraId="1BF5C5A8">
            <w:pPr>
              <w:spacing w:line="240" w:lineRule="auto"/>
            </w:pPr>
          </w:p>
        </w:tc>
        <w:tc>
          <w:tcPr>
            <w:tcW w:w="1701" w:type="dxa"/>
            <w:vAlign w:val="center"/>
          </w:tcPr>
          <w:p w14:paraId="4C323B2D">
            <w:pPr>
              <w:spacing w:line="240" w:lineRule="auto"/>
              <w:jc w:val="both"/>
            </w:pPr>
            <w:r>
              <w:rPr>
                <w:b/>
              </w:rPr>
              <w:t>Vigência</w:t>
            </w:r>
          </w:p>
        </w:tc>
        <w:tc>
          <w:tcPr>
            <w:tcW w:w="6237" w:type="dxa"/>
            <w:vAlign w:val="center"/>
          </w:tcPr>
          <w:p w14:paraId="6362908E">
            <w:pPr>
              <w:spacing w:line="240" w:lineRule="auto"/>
              <w:jc w:val="both"/>
            </w:pPr>
            <w:r>
              <w:rPr>
                <w:b w:val="0"/>
              </w:rPr>
              <w:t>03 (Três) meses, a contar da assinatura do contrato</w:t>
            </w:r>
          </w:p>
        </w:tc>
      </w:tr>
    </w:tbl>
    <w:p w14:paraId="48EB3413">
      <w:pPr>
        <w:jc w:val="both"/>
      </w:pPr>
    </w:p>
    <w:p w14:paraId="2714B630">
      <w:pPr>
        <w:spacing w:before="240" w:after="0"/>
      </w:pP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2"/>
      </w:tblGrid>
      <w:tr w14:paraId="1C3BE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2" w:type="dxa"/>
            <w:shd w:val="clear" w:color="auto" w:fill="DDDDDD"/>
          </w:tcPr>
          <w:p w14:paraId="43E8E32E">
            <w:pPr>
              <w:spacing w:line="240" w:lineRule="auto"/>
              <w:jc w:val="center"/>
            </w:pPr>
            <w:r>
              <w:rPr>
                <w:b/>
              </w:rPr>
              <w:t>PREÂMBULO - DA QUALIFICAÇÃO DAS PARTES</w:t>
            </w:r>
          </w:p>
        </w:tc>
      </w:tr>
    </w:tbl>
    <w:p w14:paraId="47791AB2">
      <w:pPr>
        <w:spacing w:before="0" w:after="480"/>
      </w:pPr>
    </w:p>
    <w:p w14:paraId="665DC83C">
      <w:pPr>
        <w:jc w:val="both"/>
      </w:pPr>
      <w:r>
        <w:t>O MUNICÍPIO DE FIGUEIRÓPOLIS D’OESTE, por intermédio do PODER LEGISLATIVO/CÂMARA MUNICIPAL DE FIGUEIRÓPOLIS D’OESTE - MATO GROSSO, Pessoa Jurídica de Direito Público Interno, com sede administrativa na Rua Rio Grande do Sul, nº 142, Centro, Figueirópolis D’Oeste - MT, CEP 78.290-000, inscrita no CNPJ nº 01.367.804/0001-96, neste ato representada pelo seu Presidente, Sr. Anísio Aparecido Peres, doravante denominada simplesmente CONTRATANTE, e a empresa POLICON TECNOLOGIA E GESTAO LTDA, pessoa jurídica de direito privado, inscrita no CNPJ/MF nº 33.929.416/0001-48, sediada na RUA CEARA (NUC HAB CPA II), 432, MORADA DA SERRA, CEP 78.055-558, CUIABA-MT, e-mail policon_consultoria547@hotmail.com, neste ato representada por Juarez da Silva Souza, doravante denominada CONTRATADA, resolvem celebrar o presente contrato originado do Processo de Inexigibilidade de licitação nº 01/2026, mediante as cláusulas e condições a seguir estabelecidas.</w:t>
      </w:r>
    </w:p>
    <w:p w14:paraId="323D31F4">
      <w:pPr>
        <w:spacing w:before="240" w:after="0"/>
      </w:pP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2"/>
      </w:tblGrid>
      <w:tr w14:paraId="3047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2" w:type="dxa"/>
            <w:shd w:val="clear" w:color="auto" w:fill="DDDDDD"/>
          </w:tcPr>
          <w:p w14:paraId="58CDFAE5">
            <w:pPr>
              <w:spacing w:line="240" w:lineRule="auto"/>
              <w:jc w:val="center"/>
            </w:pPr>
            <w:r>
              <w:rPr>
                <w:b/>
              </w:rPr>
              <w:t>1. CLÁUSULA PRIMEIRA - DO OBJETO, FINALIDADE E VINCULAÇÃO</w:t>
            </w:r>
          </w:p>
        </w:tc>
      </w:tr>
    </w:tbl>
    <w:p w14:paraId="17A4C9FF">
      <w:pPr>
        <w:spacing w:before="0" w:after="480"/>
      </w:pPr>
    </w:p>
    <w:p w14:paraId="12550CAA">
      <w:pPr>
        <w:jc w:val="both"/>
      </w:pPr>
      <w:r>
        <w:t>1.1. Contratação de consultoria especializada para proceder à atualização da Lei Orgânica Municipal e do Regimento Interno, bem como para promover sua implantação, visando assegurar a conformidade normativa e aperfeiçoar os procedimentos legislativos no âmbito municipal.</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5329"/>
        <w:gridCol w:w="729"/>
        <w:gridCol w:w="591"/>
        <w:gridCol w:w="1252"/>
        <w:gridCol w:w="1541"/>
      </w:tblGrid>
      <w:tr w14:paraId="63C2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dxa"/>
          </w:tcPr>
          <w:p w14:paraId="7A264606">
            <w:pPr>
              <w:spacing w:line="240" w:lineRule="auto"/>
            </w:pPr>
            <w:r>
              <w:rPr>
                <w:b/>
                <w:sz w:val="16"/>
              </w:rPr>
              <w:t>Nº</w:t>
            </w:r>
          </w:p>
        </w:tc>
        <w:tc>
          <w:tcPr>
            <w:tcW w:w="5329" w:type="dxa"/>
          </w:tcPr>
          <w:p w14:paraId="3C701DC9">
            <w:pPr>
              <w:spacing w:line="240" w:lineRule="auto"/>
            </w:pPr>
            <w:r>
              <w:rPr>
                <w:b/>
                <w:sz w:val="16"/>
              </w:rPr>
              <w:t>Descrição do Item</w:t>
            </w:r>
          </w:p>
        </w:tc>
        <w:tc>
          <w:tcPr>
            <w:tcW w:w="729" w:type="dxa"/>
          </w:tcPr>
          <w:p w14:paraId="350C8057">
            <w:pPr>
              <w:spacing w:line="240" w:lineRule="auto"/>
            </w:pPr>
            <w:r>
              <w:rPr>
                <w:b/>
                <w:sz w:val="16"/>
              </w:rPr>
              <w:t>Unid.</w:t>
            </w:r>
          </w:p>
        </w:tc>
        <w:tc>
          <w:tcPr>
            <w:tcW w:w="591" w:type="dxa"/>
          </w:tcPr>
          <w:p w14:paraId="21F232B9">
            <w:pPr>
              <w:spacing w:line="240" w:lineRule="auto"/>
            </w:pPr>
            <w:r>
              <w:rPr>
                <w:b/>
                <w:sz w:val="16"/>
              </w:rPr>
              <w:t>Qtd.</w:t>
            </w:r>
          </w:p>
        </w:tc>
        <w:tc>
          <w:tcPr>
            <w:tcW w:w="1252" w:type="dxa"/>
          </w:tcPr>
          <w:p w14:paraId="5A67E657">
            <w:pPr>
              <w:spacing w:line="240" w:lineRule="auto"/>
            </w:pPr>
            <w:r>
              <w:rPr>
                <w:b/>
                <w:sz w:val="16"/>
              </w:rPr>
              <w:t>Valor Unitário</w:t>
            </w:r>
          </w:p>
        </w:tc>
        <w:tc>
          <w:tcPr>
            <w:tcW w:w="1541" w:type="dxa"/>
          </w:tcPr>
          <w:p w14:paraId="18609F4E">
            <w:pPr>
              <w:spacing w:line="240" w:lineRule="auto"/>
            </w:pPr>
            <w:r>
              <w:rPr>
                <w:b/>
                <w:sz w:val="16"/>
              </w:rPr>
              <w:t>Valor Total</w:t>
            </w:r>
          </w:p>
        </w:tc>
      </w:tr>
      <w:tr w14:paraId="77AE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dxa"/>
          </w:tcPr>
          <w:p w14:paraId="00F3E42C">
            <w:pPr>
              <w:spacing w:line="240" w:lineRule="auto"/>
            </w:pPr>
            <w:r>
              <w:t>1</w:t>
            </w:r>
          </w:p>
        </w:tc>
        <w:tc>
          <w:tcPr>
            <w:tcW w:w="5329" w:type="dxa"/>
          </w:tcPr>
          <w:p w14:paraId="4D574509">
            <w:pPr>
              <w:spacing w:line="240" w:lineRule="auto"/>
            </w:pPr>
            <w:r>
              <w:rPr>
                <w:b/>
                <w:sz w:val="16"/>
              </w:rPr>
              <w:t>Contratação de empresa especializada em prestação de serviços e capacitação profissional “Modernização da Lei Orgânica e Regimento Interno: Diagnósticos, Adequações e Atualizações para 2026”, para atender às necessidades de Câmara Municipal</w:t>
            </w:r>
            <w:r>
              <w:rPr>
                <w:sz w:val="16"/>
              </w:rPr>
              <w:br w:type="textWrapping"/>
            </w:r>
            <w:r>
              <w:rPr>
                <w:sz w:val="16"/>
              </w:rPr>
              <w:t>Contratação de empresa especializada em consultoria e assessoria legislativa para revisão, consolidação e atualização do Regimento Interno e da Lei Orgânica da Câmara Municipal de Figueirópolis d’Oeste - MT, com enfoque na adequação normativa para o exercício de 2026, utilizando equipe multidisciplinar qualificada e metodologia comprovada.</w:t>
            </w:r>
            <w:r>
              <w:rPr>
                <w:sz w:val="16"/>
              </w:rPr>
              <w:br w:type="textWrapping"/>
            </w:r>
            <w:r>
              <w:rPr>
                <w:sz w:val="16"/>
              </w:rPr>
              <w:br w:type="textWrapping"/>
            </w:r>
            <w:r>
              <w:rPr>
                <w:sz w:val="16"/>
              </w:rPr>
              <w:t xml:space="preserve">1. Diagnóstico preliminar  </w:t>
            </w:r>
            <w:r>
              <w:rPr>
                <w:sz w:val="16"/>
              </w:rPr>
              <w:br w:type="textWrapping"/>
            </w:r>
            <w:r>
              <w:rPr>
                <w:sz w:val="16"/>
              </w:rPr>
              <w:br w:type="textWrapping"/>
            </w:r>
            <w:r>
              <w:rPr>
                <w:sz w:val="16"/>
              </w:rPr>
              <w:t>Realização de levantamento detalhado da legislação vigente, incluindo Regimento Interno e Lei Orgânica, por meio de entrevistas e análise documental, identificando deficiências, lacunas, conteúdos obsoletos e conflitos procedimentais; entrega de relatório técnico contendo análise crítica, pontos sensíveis e proposta preliminar e detalhada para adequação normativa.</w:t>
            </w:r>
            <w:r>
              <w:rPr>
                <w:sz w:val="16"/>
              </w:rPr>
              <w:br w:type="textWrapping"/>
            </w:r>
            <w:r>
              <w:rPr>
                <w:sz w:val="16"/>
              </w:rPr>
              <w:br w:type="textWrapping"/>
            </w:r>
            <w:r>
              <w:rPr>
                <w:sz w:val="16"/>
              </w:rPr>
              <w:t xml:space="preserve">2. Estruturação normativa  </w:t>
            </w:r>
            <w:r>
              <w:rPr>
                <w:sz w:val="16"/>
              </w:rPr>
              <w:br w:type="textWrapping"/>
            </w:r>
            <w:r>
              <w:rPr>
                <w:sz w:val="16"/>
              </w:rPr>
              <w:br w:type="textWrapping"/>
            </w:r>
            <w:r>
              <w:rPr>
                <w:sz w:val="16"/>
              </w:rPr>
              <w:t>Elaboração de proposta organizacional clara e coerente para estrutura do Regimento Interno e Lei Orgânica, definindo capítulos, seções e artigos, harmonizados com legislação superior, assegurando fácil consulta, coerência interna e compatibilidade com dispositivos constitucionais e princípios da Lei Orgânica Municipal; elaboração de minuta estrutural para validação técnica pela Comissão Especial.</w:t>
            </w:r>
            <w:r>
              <w:rPr>
                <w:sz w:val="16"/>
              </w:rPr>
              <w:br w:type="textWrapping"/>
            </w:r>
            <w:r>
              <w:rPr>
                <w:sz w:val="16"/>
              </w:rPr>
              <w:br w:type="textWrapping"/>
            </w:r>
            <w:r>
              <w:rPr>
                <w:sz w:val="16"/>
              </w:rPr>
              <w:t xml:space="preserve">3. Elaboração técnica e redação preliminar  </w:t>
            </w:r>
            <w:r>
              <w:rPr>
                <w:sz w:val="16"/>
              </w:rPr>
              <w:br w:type="textWrapping"/>
            </w:r>
            <w:r>
              <w:rPr>
                <w:sz w:val="16"/>
              </w:rPr>
              <w:br w:type="textWrapping"/>
            </w:r>
            <w:r>
              <w:rPr>
                <w:sz w:val="16"/>
              </w:rPr>
              <w:t>Desenvolvimento da minuta detalhada do texto legal consolidado, contemplando práticas internas consolidadas, dispositivos essenciais ao processo legislativo, procedimentos para sessões e comissões, gestão da Mesa Diretora e incorporação do uso de recursos tecnológicos digitais; envio para avaliação interna e revisão jurídica preliminar.</w:t>
            </w:r>
            <w:r>
              <w:rPr>
                <w:sz w:val="16"/>
              </w:rPr>
              <w:br w:type="textWrapping"/>
            </w:r>
            <w:r>
              <w:rPr>
                <w:sz w:val="16"/>
              </w:rPr>
              <w:br w:type="textWrapping"/>
            </w:r>
            <w:r>
              <w:rPr>
                <w:sz w:val="16"/>
              </w:rPr>
              <w:t xml:space="preserve">4. Discussão e participação técnico-legislativa  </w:t>
            </w:r>
            <w:r>
              <w:rPr>
                <w:sz w:val="16"/>
              </w:rPr>
              <w:br w:type="textWrapping"/>
            </w:r>
            <w:r>
              <w:rPr>
                <w:sz w:val="16"/>
              </w:rPr>
              <w:br w:type="textWrapping"/>
            </w:r>
            <w:r>
              <w:rPr>
                <w:sz w:val="16"/>
              </w:rPr>
              <w:t>Promoção de reuniões técnicas com vereadores, servidores e assessoria jurídica para apresentação e coleta de contribuições sobre a minuta preliminar; análise criteriosa e seletiva das sugestões, assegurando ajustes processuais e normativos pertinentes, seguida da produção de versão consolidada para revisão aprofundada.</w:t>
            </w:r>
            <w:r>
              <w:rPr>
                <w:sz w:val="16"/>
              </w:rPr>
              <w:br w:type="textWrapping"/>
            </w:r>
            <w:r>
              <w:rPr>
                <w:sz w:val="16"/>
              </w:rPr>
              <w:br w:type="textWrapping"/>
            </w:r>
            <w:r>
              <w:rPr>
                <w:sz w:val="16"/>
              </w:rPr>
              <w:t xml:space="preserve">5. Revisão jurídico-legislativa final  </w:t>
            </w:r>
            <w:r>
              <w:rPr>
                <w:sz w:val="16"/>
              </w:rPr>
              <w:br w:type="textWrapping"/>
            </w:r>
            <w:r>
              <w:rPr>
                <w:sz w:val="16"/>
              </w:rPr>
              <w:br w:type="textWrapping"/>
            </w:r>
            <w:r>
              <w:rPr>
                <w:sz w:val="16"/>
              </w:rPr>
              <w:t>Realização de revisão técnica rigorosa do texto consolidado para correção de inconsistências, eliminação de redundâncias e aprimoramento da técnica legislativa; verificação da conformidade integral com a Constituição Federal, Estadual e normativos aplicáveis; elaboração de parecer jurídico detalhado fundamentado em bases legais e doutrinárias reconhecidas.</w:t>
            </w:r>
            <w:r>
              <w:rPr>
                <w:sz w:val="16"/>
              </w:rPr>
              <w:br w:type="textWrapping"/>
            </w:r>
            <w:r>
              <w:rPr>
                <w:sz w:val="16"/>
              </w:rPr>
              <w:br w:type="textWrapping"/>
            </w:r>
            <w:r>
              <w:rPr>
                <w:sz w:val="16"/>
              </w:rPr>
              <w:t xml:space="preserve">6. Apoio à aprovação institucional  </w:t>
            </w:r>
            <w:r>
              <w:rPr>
                <w:sz w:val="16"/>
              </w:rPr>
              <w:br w:type="textWrapping"/>
            </w:r>
            <w:r>
              <w:rPr>
                <w:sz w:val="16"/>
              </w:rPr>
              <w:br w:type="textWrapping"/>
            </w:r>
            <w:r>
              <w:rPr>
                <w:sz w:val="16"/>
              </w:rPr>
              <w:t>Prestação de suporte técnico durante todo o trâmite legislativo das atualizações do Regimento Interno e da Lei Orgânica, incluindo esclarecimentos em sessões, participação em audiências e defesa de pontos junto à Mesa Diretora; garantia da plena compreensão dos aspectos normativos e procedimentais pelas autoridades legislativas; entrega da redação final aprovada e apta para publicação.</w:t>
            </w:r>
            <w:r>
              <w:rPr>
                <w:sz w:val="16"/>
              </w:rPr>
              <w:br w:type="textWrapping"/>
            </w:r>
            <w:r>
              <w:rPr>
                <w:sz w:val="16"/>
              </w:rPr>
              <w:br w:type="textWrapping"/>
            </w:r>
            <w:r>
              <w:rPr>
                <w:sz w:val="16"/>
              </w:rPr>
              <w:t xml:space="preserve">7. Implementação e capacitação  </w:t>
            </w:r>
            <w:r>
              <w:rPr>
                <w:sz w:val="16"/>
              </w:rPr>
              <w:br w:type="textWrapping"/>
            </w:r>
            <w:r>
              <w:rPr>
                <w:sz w:val="16"/>
              </w:rPr>
              <w:br w:type="textWrapping"/>
            </w:r>
            <w:r>
              <w:rPr>
                <w:sz w:val="16"/>
              </w:rPr>
              <w:t>Produção de materiais didáticos e informativos para vereadores, servidores e demais agentes públicos, contendo resumos, orientações práticas, manuais operacionais, checklists e fluxogramas específicos para aplicação eficaz do Regimento Interno revisado, contribuindo para sua operacionalização sustentável nas atividades institucionais.</w:t>
            </w:r>
            <w:r>
              <w:rPr>
                <w:sz w:val="16"/>
              </w:rPr>
              <w:br w:type="textWrapping"/>
            </w:r>
            <w:r>
              <w:rPr>
                <w:sz w:val="16"/>
              </w:rPr>
              <w:br w:type="textWrapping"/>
            </w:r>
            <w:r>
              <w:rPr>
                <w:sz w:val="16"/>
              </w:rPr>
              <w:t xml:space="preserve">8. Solução completa e integrada  </w:t>
            </w:r>
            <w:r>
              <w:rPr>
                <w:sz w:val="16"/>
              </w:rPr>
              <w:br w:type="textWrapping"/>
            </w:r>
            <w:r>
              <w:rPr>
                <w:sz w:val="16"/>
              </w:rPr>
              <w:br w:type="textWrapping"/>
            </w:r>
            <w:r>
              <w:rPr>
                <w:sz w:val="16"/>
              </w:rPr>
              <w:t>Fornecimento integral do serviço técnico especializado com emprego de metodologia consolidada e equipe multidisciplinar habilitada, visando identificação e correção das deficiências da norma vigente, mitigação de riscos jurídicos, modernização dos processos legislativos e administrativas, e fortalecimento da governança normativa da Câmara Municipal para assegurar eficácia e excelência no exercício das funções legislativas a partir de 2026.</w:t>
            </w:r>
          </w:p>
        </w:tc>
        <w:tc>
          <w:tcPr>
            <w:tcW w:w="729" w:type="dxa"/>
          </w:tcPr>
          <w:p w14:paraId="7AFF89E3">
            <w:pPr>
              <w:spacing w:line="240" w:lineRule="auto"/>
            </w:pPr>
            <w:r>
              <w:t>UN</w:t>
            </w:r>
          </w:p>
        </w:tc>
        <w:tc>
          <w:tcPr>
            <w:tcW w:w="591" w:type="dxa"/>
          </w:tcPr>
          <w:p w14:paraId="3061A317">
            <w:pPr>
              <w:spacing w:line="240" w:lineRule="auto"/>
            </w:pPr>
            <w:r>
              <w:t>1.00</w:t>
            </w:r>
          </w:p>
        </w:tc>
        <w:tc>
          <w:tcPr>
            <w:tcW w:w="1252" w:type="dxa"/>
          </w:tcPr>
          <w:p w14:paraId="3447FE0C">
            <w:pPr>
              <w:spacing w:line="240" w:lineRule="auto"/>
            </w:pPr>
            <w:r>
              <w:t>R$ 60.000,00</w:t>
            </w:r>
          </w:p>
        </w:tc>
        <w:tc>
          <w:tcPr>
            <w:tcW w:w="1541" w:type="dxa"/>
          </w:tcPr>
          <w:p w14:paraId="4E5B92C8">
            <w:pPr>
              <w:spacing w:line="240" w:lineRule="auto"/>
            </w:pPr>
            <w:r>
              <w:t>R$ 60.000,00</w:t>
            </w:r>
          </w:p>
        </w:tc>
      </w:tr>
    </w:tbl>
    <w:p w14:paraId="0A2E29F8">
      <w:pPr>
        <w:jc w:val="both"/>
      </w:pPr>
      <w:r>
        <w:t>1.2. As partes declaram-se vinculadas aos termos do Processo Administrativo nº 0010/2026 e da Inexigibilidade de licitação nº 01/2026, não podendo afastar-se das regras e condições nele previstas.</w:t>
      </w:r>
    </w:p>
    <w:p w14:paraId="54F86D4C">
      <w:pPr>
        <w:spacing w:before="240" w:after="0"/>
      </w:pP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2"/>
      </w:tblGrid>
      <w:tr w14:paraId="55665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2" w:type="dxa"/>
            <w:shd w:val="clear" w:color="auto" w:fill="DDDDDD"/>
          </w:tcPr>
          <w:p w14:paraId="3DBF8871">
            <w:pPr>
              <w:spacing w:line="240" w:lineRule="auto"/>
              <w:jc w:val="center"/>
            </w:pPr>
            <w:r>
              <w:rPr>
                <w:b/>
              </w:rPr>
              <w:t>2. CLÁUSULA SEGUNDA - DA FORMA DE PRESTAÇÃO DOS SERVIÇOS E DO RECEBIMENTO</w:t>
            </w:r>
          </w:p>
        </w:tc>
      </w:tr>
    </w:tbl>
    <w:p w14:paraId="188AA547">
      <w:pPr>
        <w:spacing w:before="0" w:after="480"/>
      </w:pPr>
    </w:p>
    <w:p w14:paraId="42C19160">
      <w:pPr>
        <w:jc w:val="both"/>
      </w:pPr>
      <w:r>
        <w:t>2.1. A forma de execução deste contrato é indireta, devendo a CONTRATADA cumprir fielmente as exigências constantes do Termo de Referência e demais documentos do processo.</w:t>
      </w:r>
    </w:p>
    <w:p w14:paraId="441F5EC2">
      <w:pPr>
        <w:jc w:val="both"/>
      </w:pPr>
      <w:r>
        <w:t>2.2. A contratação fundamenta-se na Lei Federal nº 14.133/2021, especialmente nas disposições aplicáveis à contratação direta.</w:t>
      </w:r>
    </w:p>
    <w:p w14:paraId="6F5067E9">
      <w:pPr>
        <w:jc w:val="both"/>
      </w:pPr>
      <w:r>
        <w:t>2.3.&amp;nbsp;Os serviços serão executados da seguinte forma&amp;nbsp;</w:t>
      </w:r>
    </w:p>
    <w:p w14:paraId="7B8C66D3">
      <w:pPr>
        <w:jc w:val="both"/>
      </w:pPr>
      <w:r>
        <w:t>1. ETAPA I – DIAGNÓSTICO, ANÁLISE E ESTRUTURAÇÃO NORMATIVA</w:t>
      </w:r>
    </w:p>
    <w:p w14:paraId="48AA5654">
      <w:pPr>
        <w:jc w:val="both"/>
      </w:pPr>
      <w:r>
        <w:t>Realização de levantamento e análise detalhada da legislação vigente, especialmente do Regimento Interno e da Lei Orgânica Municipal, mediante análise documental, entrevistas técnicas e levantamento das práticas legislativas atualmente adotadas pela Câmara Municipal.</w:t>
      </w:r>
    </w:p>
    <w:p w14:paraId="1D3768C7">
      <w:pPr>
        <w:jc w:val="both"/>
      </w:pPr>
      <w:r>
        <w:t>A etapa compreenderá a identificação de deficiências, lacunas normativas, dispositivos obsoletos, incompatibilidades jurídicas, conflitos procedimentais, redundâncias e necessidades de modernização, com elaboração de relatório técnico contendo análise crítica, indicação dos pontos sensíveis e propostas preliminares de adequação.</w:t>
      </w:r>
    </w:p>
    <w:p w14:paraId="5AAFB9AE">
      <w:pPr>
        <w:jc w:val="both"/>
      </w:pPr>
      <w:r>
        <w:t>Com base no diagnóstico realizado, deverá ser elaborada proposta de estruturação normativa clara e coerente para o Regimento Interno e para a Lei Orgânica, com definição e reorganização de títulos, capítulos, seções, subseções e artigos, observando a Constituição Federal, a Constituição Estadual, a legislação aplicável e os princípios de técnica legislativa.</w:t>
      </w:r>
    </w:p>
    <w:p w14:paraId="48012FB1">
      <w:pPr>
        <w:jc w:val="both"/>
      </w:pPr>
      <w:r>
        <w:t>Ao final desta etapa deverá ser apresentada minuta estrutural preliminar, acompanhada do respectivo diagnóstico técnico, para análise e validação pela Câmara Municipal e/ou Comissão Especial responsável.</w:t>
      </w:r>
    </w:p>
    <w:p w14:paraId="2CFE2C14">
      <w:pPr>
        <w:jc w:val="both"/>
      </w:pPr>
      <w:r>
        <w:t>2. ETAPA II – ELABORAÇÃO, DISCUSSÃO E REVISÃO TÉCNICO-JURÍDICA</w:t>
      </w:r>
    </w:p>
    <w:p w14:paraId="5B0C7285">
      <w:pPr>
        <w:jc w:val="both"/>
      </w:pPr>
      <w:r>
        <w:t>Elaboração das minutas completas e consolidadas do novo Regimento Interno e da atualização da Lei Orgânica Municipal, contemplando as práticas institucionais consolidadas, os procedimentos do processo legislativo, funcionamento das sessões e comissões, competências da Mesa Diretora, organização dos trabalhos parlamentares, procedimentos administrativos correlatos e utilização de recursos tecnológicos e digitais.</w:t>
      </w:r>
    </w:p>
    <w:p w14:paraId="2EF75566">
      <w:pPr>
        <w:jc w:val="both"/>
      </w:pPr>
      <w:r>
        <w:t>As minutas deverão ser submetidas à avaliação da Câmara Municipal, com realização de reuniões técnicas junto aos vereadores, servidores, assessoria jurídica, Comissão Especial e demais agentes envolvidos, destinadas à apresentação das propostas, esclarecimento de dúvidas e recebimento de sugestões e contribuições.</w:t>
      </w:r>
    </w:p>
    <w:p w14:paraId="17C3B3B1">
      <w:pPr>
        <w:jc w:val="both"/>
      </w:pPr>
      <w:r>
        <w:t>As manifestações recebidas deverão ser analisadas tecnicamente, promovendo-se os ajustes considerados juridicamente pertinentes e compatíveis com a organização institucional.</w:t>
      </w:r>
    </w:p>
    <w:p w14:paraId="0095C5D2">
      <w:pPr>
        <w:jc w:val="both"/>
      </w:pPr>
      <w:r>
        <w:t>Após as discussões, deverá ser realizada revisão jurídico-legislativa aprofundada, contemplando correção de inconsistências, eliminação de redundâncias, padronização da linguagem normativa, aperfeiçoamento da técnica legislativa e verificação da conformidade com a Constituição Federal, Constituição Estadual, legislação federal e estadual aplicável e demais normas pertinentes.</w:t>
      </w:r>
    </w:p>
    <w:p w14:paraId="255F4C8F">
      <w:pPr>
        <w:jc w:val="both"/>
      </w:pPr>
      <w:r>
        <w:t>A etapa compreenderá ainda a apresentação da versão consolidada das minutas, acompanhada de fundamentação técnico-jurídica e, quando pertinente, parecer ou relatório técnico demonstrando as principais alterações realizadas.</w:t>
      </w:r>
    </w:p>
    <w:p w14:paraId="72749AE1">
      <w:pPr>
        <w:jc w:val="both"/>
      </w:pPr>
      <w:r>
        <w:t>3. ETAPA III – APROVAÇÃO, IMPLEMENTAÇÃO E CAPACITAÇÃO INSTITUCIONAL</w:t>
      </w:r>
    </w:p>
    <w:p w14:paraId="591D3D39">
      <w:pPr>
        <w:jc w:val="both"/>
      </w:pPr>
      <w:r>
        <w:t>Prestação de suporte técnico durante a tramitação legislativa das propostas de atualização do Regimento Interno e da Lei Orgânica Municipal, incluindo participação em reuniões, sessões, audiências ou demais atividades relacionadas à apreciação das matérias, quando solicitado pela Câmara Municipal.</w:t>
      </w:r>
    </w:p>
    <w:p w14:paraId="2CC4B022">
      <w:pPr>
        <w:jc w:val="both"/>
      </w:pPr>
      <w:r>
        <w:t>O apoio deverá compreender esclarecimentos técnicos e jurídicos, orientação quanto às alterações propostas, análise de eventuais emendas e adequações surgidas durante o processo legislativo, bem como suporte à Mesa Diretora, Comissão Especial, vereadores, servidores e assessoria jurídica até a conclusão da apreciação institucional.</w:t>
      </w:r>
    </w:p>
    <w:p w14:paraId="2BBFE901">
      <w:pPr>
        <w:jc w:val="both"/>
      </w:pPr>
      <w:r>
        <w:t>Após a aprovação, deverá ser realizada a consolidação e entrega da redação final, devidamente revisada e apta à publicação oficial.</w:t>
      </w:r>
    </w:p>
    <w:p w14:paraId="1E3CC84F">
      <w:pPr>
        <w:jc w:val="both"/>
      </w:pPr>
      <w:r>
        <w:t>A contratada deverá ainda promover ações destinadas à implementação das novas normas, mediante elaboração de materiais didáticos e informativos, tais como manuais operacionais, orientações práticas, resumos, checklists, fluxogramas e outros instrumentos destinados a facilitar a aplicação do Regimento Interno e da Lei Orgânica pelos vereadores, servidores e demais agentes públicos.</w:t>
      </w:r>
    </w:p>
    <w:p w14:paraId="1E4EDD77">
      <w:pPr>
        <w:jc w:val="both"/>
      </w:pPr>
      <w:r>
        <w:t>2.4. A solução deverá ser prestada de forma completa e integrada, mediante metodologia consolidada e equipe multidisciplinar habilitada, buscando corrigir deficiências normativas, reduzir riscos jurídicos, modernizar os procedimentos legislativos e administrativos e fortalecer a governança normativa da Câmara Municipal de Figueirópolis d’Oeste – MT.</w:t>
      </w:r>
    </w:p>
    <w:p w14:paraId="4D2FB5EE">
      <w:pPr>
        <w:spacing w:before="240" w:after="0"/>
      </w:pP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2"/>
      </w:tblGrid>
      <w:tr w14:paraId="31BEC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2" w:type="dxa"/>
            <w:shd w:val="clear" w:color="auto" w:fill="DDDDDD"/>
          </w:tcPr>
          <w:p w14:paraId="1672EF67">
            <w:pPr>
              <w:spacing w:line="240" w:lineRule="auto"/>
              <w:jc w:val="center"/>
            </w:pPr>
            <w:r>
              <w:rPr>
                <w:b/>
              </w:rPr>
              <w:t>3. CLÁUSULA TERCEIRA - DA VIGÊNCIA</w:t>
            </w:r>
          </w:p>
        </w:tc>
      </w:tr>
    </w:tbl>
    <w:p w14:paraId="4F34DD95">
      <w:pPr>
        <w:spacing w:before="0" w:after="480"/>
      </w:pPr>
    </w:p>
    <w:p w14:paraId="6B421068">
      <w:pPr>
        <w:jc w:val="both"/>
      </w:pPr>
      <w:r>
        <w:t>3.1. O presente contrato vigerá 03 (Três) meses, a contar da assinatura do contrato.</w:t>
      </w:r>
    </w:p>
    <w:p w14:paraId="0C176D0D">
      <w:pPr>
        <w:jc w:val="both"/>
      </w:pPr>
      <w:r>
        <w:t>3.2. Justificadamente e havendo interesse das partes, poderá ser prorrogado até o limite permitido em lei.</w:t>
      </w:r>
    </w:p>
    <w:p w14:paraId="28049768">
      <w:pPr>
        <w:spacing w:before="240" w:after="0"/>
      </w:pP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2"/>
      </w:tblGrid>
      <w:tr w14:paraId="7780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2" w:type="dxa"/>
            <w:shd w:val="clear" w:color="auto" w:fill="DDDDDD"/>
          </w:tcPr>
          <w:p w14:paraId="2DC39872">
            <w:pPr>
              <w:spacing w:line="240" w:lineRule="auto"/>
              <w:jc w:val="center"/>
            </w:pPr>
            <w:r>
              <w:rPr>
                <w:b/>
              </w:rPr>
              <w:t>4. CLÁUSULA QUARTA - DO VALOR E FORMA DE PAGAMENTO</w:t>
            </w:r>
          </w:p>
        </w:tc>
      </w:tr>
    </w:tbl>
    <w:p w14:paraId="690318DD">
      <w:pPr>
        <w:spacing w:before="0" w:after="480"/>
      </w:pPr>
    </w:p>
    <w:p w14:paraId="163D957B">
      <w:pPr>
        <w:jc w:val="both"/>
      </w:pPr>
      <w:r>
        <w:t>4.1. O valor Global do presente contrato é de R$ 60.000,00.</w:t>
      </w:r>
    </w:p>
    <w:p w14:paraId="4C3F6F85">
      <w:pPr>
        <w:jc w:val="both"/>
      </w:pPr>
      <w:r>
        <w:t>4.2. O pagamento será realizado de acordo com o pedido feito pela Câmara Municipal, mediante a apresentação de Nota Fiscal.</w:t>
      </w:r>
    </w:p>
    <w:p w14:paraId="2831E4D7">
      <w:pPr>
        <w:jc w:val="both"/>
      </w:pPr>
      <w:r>
        <w:t>4.3. No recibo ou na Nota Fiscal deverá ser calculados das retenções a serem realizadas, como IR e ISS.</w:t>
      </w:r>
    </w:p>
    <w:p w14:paraId="0E5BEFA3">
      <w:pPr>
        <w:jc w:val="both"/>
      </w:pPr>
      <w:r>
        <w:t>4.4. Em caso de não apresentar os cálculos das retenções legais cabíveis este será realizado Pelo Setor de Contabilidade da Câmara Municipal.</w:t>
      </w:r>
    </w:p>
    <w:p w14:paraId="4729EFE2">
      <w:pPr>
        <w:jc w:val="both"/>
      </w:pPr>
      <w:r>
        <w:t>4.5. O valor pactuado será reajustado com base na variação do Índice Nacional de Preços ao Consumidor - INPC, divulgado pelo IBGE, após a assinatura do contrato, levando em conta a variação do índice pactuado entre a data de apresentação da proposta e do primeiro aniversário do contrato: os próximos reajustes ocorrerão sempre nos aniversários seguintes, aplicando-se a variação ocorrida no último período.</w:t>
      </w:r>
    </w:p>
    <w:p w14:paraId="39574DCF">
      <w:pPr>
        <w:jc w:val="both"/>
      </w:pPr>
      <w:r>
        <w:t>4.6. O pagamento será efetuado em 03 (três) parcelas, vinculadas à conclusão, entrega e aceite de cada uma das etapas previstas para a execução dos serviços, observados os respectivos produtos e resultados estabelecidos no Termo de Referência.</w:t>
      </w:r>
    </w:p>
    <w:p w14:paraId="3A3FB8B4">
      <w:pPr>
        <w:jc w:val="both"/>
      </w:pPr>
      <w:r>
        <w:t>4.7. O pagamento será realizado de forma proporcional à execução e ao aceite de cada etapa, observando-se os seguintes percentuais: 30% (trinta por cento) após a conclusão da primeira etapa, 30% (trinta por cento) após a conclusão da segunda etapa e 40% (quarenta por cento) após a conclusão da terceira etapa, mediante apresentação dos respectivos produtos e comprovação da execução dos serviços.</w:t>
      </w:r>
    </w:p>
    <w:p w14:paraId="5DF2F414">
      <w:pPr>
        <w:spacing w:before="240" w:after="0"/>
      </w:pP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2"/>
      </w:tblGrid>
      <w:tr w14:paraId="6C852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2" w:type="dxa"/>
            <w:shd w:val="clear" w:color="auto" w:fill="DDDDDD"/>
          </w:tcPr>
          <w:p w14:paraId="5D0C6C48">
            <w:pPr>
              <w:spacing w:line="240" w:lineRule="auto"/>
              <w:jc w:val="center"/>
            </w:pPr>
            <w:r>
              <w:rPr>
                <w:b/>
              </w:rPr>
              <w:t>5. CLÁUSULA QUINTA - DA VINCULAÇÃO</w:t>
            </w:r>
          </w:p>
        </w:tc>
      </w:tr>
    </w:tbl>
    <w:p w14:paraId="4A842872">
      <w:pPr>
        <w:spacing w:before="0" w:after="480"/>
      </w:pPr>
    </w:p>
    <w:p w14:paraId="721B8139">
      <w:pPr>
        <w:jc w:val="both"/>
      </w:pPr>
      <w:r>
        <w:t>5.1. As partes declaram-se vinculadas aos termos da Inexigibilidade de licitação nº 01/2026 e todos os seus anexos.</w:t>
      </w:r>
    </w:p>
    <w:p w14:paraId="278A9BC3">
      <w:pPr>
        <w:spacing w:before="240" w:after="0"/>
      </w:pP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2"/>
      </w:tblGrid>
      <w:tr w14:paraId="2C75A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2" w:type="dxa"/>
            <w:shd w:val="clear" w:color="auto" w:fill="DDDDDD"/>
          </w:tcPr>
          <w:p w14:paraId="7DC31A85">
            <w:pPr>
              <w:spacing w:line="240" w:lineRule="auto"/>
              <w:jc w:val="center"/>
            </w:pPr>
            <w:r>
              <w:rPr>
                <w:b/>
              </w:rPr>
              <w:t>6. CLÁUSULA SEXTA - DA LEGISLAÇÃO APLICÁVEL</w:t>
            </w:r>
          </w:p>
        </w:tc>
      </w:tr>
    </w:tbl>
    <w:p w14:paraId="4B062D69">
      <w:pPr>
        <w:spacing w:before="0" w:after="480"/>
      </w:pPr>
    </w:p>
    <w:p w14:paraId="017D8CFA">
      <w:pPr>
        <w:jc w:val="both"/>
      </w:pPr>
      <w:r>
        <w:t>6.1. As partes declaram-se sujeitas às disposições da Lei Federal nº 14.133/2021 e todas as suas alterações, que será aplicada em sua plenitude a este Contrato, bem como aos casos omissos resultantes desta pactuação.</w:t>
      </w:r>
    </w:p>
    <w:p w14:paraId="4EE5424F">
      <w:pPr>
        <w:jc w:val="both"/>
      </w:pPr>
      <w:r>
        <w:t>6.2. Aplica-se ainda, no que couber, a Constituição Federal, Estadual e Lei Orgânica do Município e as normas pertinentes à Administração Pública, bem como a legislação que regem a profissão se ccontratação se aplicar.</w:t>
      </w:r>
    </w:p>
    <w:p w14:paraId="73E03EB7">
      <w:pPr>
        <w:spacing w:before="240" w:after="0"/>
      </w:pP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2"/>
      </w:tblGrid>
      <w:tr w14:paraId="21EB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2" w:type="dxa"/>
            <w:shd w:val="clear" w:color="auto" w:fill="DDDDDD"/>
          </w:tcPr>
          <w:p w14:paraId="7A6F6F27">
            <w:pPr>
              <w:spacing w:line="240" w:lineRule="auto"/>
              <w:jc w:val="center"/>
            </w:pPr>
            <w:r>
              <w:rPr>
                <w:b/>
              </w:rPr>
              <w:t>7. CLÁUSULA SÉTIMA - DAS OBRIGAÇÕES</w:t>
            </w:r>
          </w:p>
        </w:tc>
      </w:tr>
    </w:tbl>
    <w:p w14:paraId="502BD848">
      <w:pPr>
        <w:spacing w:before="0" w:after="480"/>
      </w:pPr>
    </w:p>
    <w:p w14:paraId="79477216">
      <w:pPr>
        <w:jc w:val="both"/>
      </w:pPr>
      <w:r>
        <w:rPr>
          <w:b/>
        </w:rPr>
        <w:t>7.1. Do CONTRATADO:</w:t>
      </w:r>
    </w:p>
    <w:p w14:paraId="022BCEB1">
      <w:pPr>
        <w:jc w:val="both"/>
      </w:pPr>
      <w:r>
        <w:rPr>
          <w:b w:val="0"/>
        </w:rPr>
        <w:t>7.1.1. Cumprir com proficiência, zelo, dedicação, probidade, espírito de solidariedade e lealdade os serviços contratados;</w:t>
      </w:r>
    </w:p>
    <w:p w14:paraId="66096064">
      <w:pPr>
        <w:jc w:val="both"/>
      </w:pPr>
      <w:r>
        <w:rPr>
          <w:b w:val="0"/>
        </w:rPr>
        <w:t>7.1.2. Prestar os serviços em conformidade com as condições contratuais, especialmente quanto:</w:t>
      </w:r>
    </w:p>
    <w:p w14:paraId="4AF2C693">
      <w:pPr>
        <w:jc w:val="both"/>
      </w:pPr>
      <w:r>
        <w:rPr>
          <w:b w:val="0"/>
        </w:rPr>
        <w:t>i) ao cumprimento dos prazos de execução estabelecidos no Termo de Referência e reproduzidos neste Contrato;</w:t>
      </w:r>
    </w:p>
    <w:p w14:paraId="534F6056">
      <w:pPr>
        <w:jc w:val="both"/>
      </w:pPr>
      <w:r>
        <w:rPr>
          <w:b w:val="0"/>
        </w:rPr>
        <w:t>ii) a execução dos serviços por meio do profissional técnico especializado, apresentado, aceito e aprovado pela Administração como responsável técnico; e,</w:t>
      </w:r>
    </w:p>
    <w:p w14:paraId="2EB6F5DA">
      <w:pPr>
        <w:jc w:val="both"/>
      </w:pPr>
      <w:r>
        <w:rPr>
          <w:b w:val="0"/>
        </w:rPr>
        <w:t>iii) execução em todas as etapas previstas.</w:t>
      </w:r>
    </w:p>
    <w:p w14:paraId="5FEC06FA">
      <w:pPr>
        <w:jc w:val="both"/>
      </w:pPr>
      <w:r>
        <w:rPr>
          <w:b w:val="0"/>
        </w:rPr>
        <w:t>7.1.3. Manter a Administração informada sobre todas as ocorrências e andamentos da execução deste Contrato;</w:t>
      </w:r>
    </w:p>
    <w:p w14:paraId="73EB9494">
      <w:pPr>
        <w:jc w:val="both"/>
      </w:pPr>
      <w:r>
        <w:rPr>
          <w:b w:val="0"/>
        </w:rPr>
        <w:t>7.1.4. Aceitar acréscimos ou supressões nos limites previsto nos termos do art. 125 da Lei nº 14.133/2021;</w:t>
      </w:r>
    </w:p>
    <w:p w14:paraId="513DA031">
      <w:pPr>
        <w:jc w:val="both"/>
      </w:pPr>
      <w:r>
        <w:rPr>
          <w:b w:val="0"/>
        </w:rPr>
        <w:t>7.1.5. Manter todas as condições de habilitação durante toda a vigência do contrato, especialmente quanto ao responsável técnico, que somente poderá ser substituído com expressa autorização da CONTRATANTE;</w:t>
      </w:r>
    </w:p>
    <w:p w14:paraId="6562E1BC">
      <w:pPr>
        <w:jc w:val="both"/>
      </w:pPr>
      <w:r>
        <w:rPr>
          <w:b w:val="0"/>
        </w:rPr>
        <w:t>7.1.6. Responder civil e criminalmente por todos os danos que comprovadamente vier causar ao Contratante, seja em razão de condutas comissivas, omissiva e ainda em razão de imperícia ou imprudência;</w:t>
      </w:r>
    </w:p>
    <w:p w14:paraId="0F7A0FFD">
      <w:pPr>
        <w:jc w:val="both"/>
      </w:pPr>
      <w:r>
        <w:rPr>
          <w:b w:val="0"/>
        </w:rPr>
        <w:t>7.1.7. Emitir a Nota Fiscal para promoção dos pagamentos.</w:t>
      </w:r>
    </w:p>
    <w:p w14:paraId="5AD0BDBC">
      <w:pPr>
        <w:jc w:val="both"/>
      </w:pPr>
      <w:r>
        <w:rPr>
          <w:b w:val="0"/>
        </w:rPr>
        <w:t>7.1.8. Arcar com todas as despesas, diretas ou indiretas, desde que decorrentes do cumprimento das suas obrigações, exceto aquelas contratualmente excepcionadas e desde que exercida a opção pela CONTRATANTE.</w:t>
      </w:r>
    </w:p>
    <w:p w14:paraId="005197C0">
      <w:pPr>
        <w:jc w:val="both"/>
      </w:pPr>
      <w:r>
        <w:rPr>
          <w:b w:val="0"/>
        </w:rPr>
        <w:t>7.1.9. Manter, sob sua exclusiva responsabilidade, toda a supervisão, direção e mão de obra para execução dos serviços;</w:t>
      </w:r>
    </w:p>
    <w:p w14:paraId="2ECC728D">
      <w:pPr>
        <w:jc w:val="both"/>
      </w:pPr>
      <w:r>
        <w:rPr>
          <w:b w:val="0"/>
        </w:rPr>
        <w:t>7.1.10. Reparar ou refazer, as suas expensas, os serviços objeto deste contrato em que se verifiquem vícios, defeitos ou incorreções, resultantes de execução irregular ou não correspondentes às especificações, exceto se forem para mais e para complementar as regulamentações inicialmente previstas;</w:t>
      </w:r>
    </w:p>
    <w:p w14:paraId="605002FE">
      <w:pPr>
        <w:jc w:val="both"/>
      </w:pPr>
      <w:r>
        <w:rPr>
          <w:b w:val="0"/>
        </w:rPr>
        <w:t>7.1.11. Comunicar à CONTRATANTE, imediatamente qualquer situação que seja impeditiva ou obstativa da boa e regular execução do contrato.</w:t>
      </w:r>
    </w:p>
    <w:p w14:paraId="039EFFFF">
      <w:pPr>
        <w:jc w:val="both"/>
      </w:pPr>
      <w:r>
        <w:rPr>
          <w:b w:val="0"/>
        </w:rPr>
        <w:t>7.1.12. Assegurar o fiel cumprimento, por parte de seus empregados, das obrigações Contratadas;</w:t>
      </w:r>
    </w:p>
    <w:p w14:paraId="6DDD5562">
      <w:pPr>
        <w:jc w:val="both"/>
      </w:pPr>
      <w:r>
        <w:rPr>
          <w:b w:val="0"/>
        </w:rPr>
        <w:t>7.1.13. Zelar pela qualidade técnica dos trabalhos por ela desenvolvidos;</w:t>
      </w:r>
    </w:p>
    <w:p w14:paraId="4982C463">
      <w:pPr>
        <w:jc w:val="both"/>
      </w:pPr>
      <w:r>
        <w:rPr>
          <w:b w:val="0"/>
        </w:rPr>
        <w:t>7.1.14. Conduzir os trabalhos de acordo com normas técnicas adequadas, em estrita observância às normas legais aplicáveis;</w:t>
      </w:r>
    </w:p>
    <w:p w14:paraId="4BEA951C">
      <w:pPr>
        <w:jc w:val="both"/>
      </w:pPr>
      <w:r>
        <w:rPr>
          <w:b w:val="0"/>
        </w:rPr>
        <w:t>7.1.15. Prestar à CONTRATANTE, todas as informações e esclarecimentos que lhe forem solicitadas;</w:t>
      </w:r>
    </w:p>
    <w:p w14:paraId="64824BC7">
      <w:pPr>
        <w:jc w:val="both"/>
      </w:pPr>
      <w:r>
        <w:rPr>
          <w:b w:val="0"/>
        </w:rPr>
        <w:t>7.1.16. A empresa contratada compromete-se a não divulgar e nem oferecer a terceiros, durante e após a execução do contrato, dados e informações referentes aos serviços realizados, salvo se expressamente autorizada pela CONTRATANTE.</w:t>
      </w:r>
    </w:p>
    <w:p w14:paraId="216BEB46">
      <w:pPr>
        <w:jc w:val="both"/>
      </w:pPr>
      <w:r>
        <w:rPr>
          <w:b w:val="0"/>
        </w:rPr>
        <w:t>7.1.17. Responsabilizar-se pelo dados que vier a ter acesso e que tiver dado tratamento, tudo em face da execução de contrato, conforme exige a Lei Geral de Proteção de Dados.</w:t>
      </w:r>
    </w:p>
    <w:p w14:paraId="7E96141D">
      <w:pPr>
        <w:jc w:val="both"/>
      </w:pPr>
      <w:r>
        <w:rPr>
          <w:b/>
        </w:rPr>
        <w:t>7.2. Da CONTRATANTE:</w:t>
      </w:r>
    </w:p>
    <w:p w14:paraId="64042F4E">
      <w:pPr>
        <w:jc w:val="both"/>
      </w:pPr>
      <w:r>
        <w:rPr>
          <w:b w:val="0"/>
        </w:rPr>
        <w:t>7.2.1. Efetuar os pagamentos pela prestação do serviço conforme o disposto na Cláusula Quarta;</w:t>
      </w:r>
    </w:p>
    <w:p w14:paraId="2EDF9932">
      <w:pPr>
        <w:jc w:val="both"/>
      </w:pPr>
      <w:r>
        <w:rPr>
          <w:b w:val="0"/>
        </w:rPr>
        <w:t>7.2.2. Fornecer todas as informações que se fizerem necessárias para a realização do objeto deste contrato;</w:t>
      </w:r>
    </w:p>
    <w:p w14:paraId="0A3EDD09">
      <w:pPr>
        <w:jc w:val="both"/>
      </w:pPr>
      <w:r>
        <w:rPr>
          <w:b w:val="0"/>
        </w:rPr>
        <w:t>7.2.3. Garantir as condições mínimas para prestação e ressarcir a despesas extras se houver necessidade de deslocamento do contrato em situações não previstas contratualmente;</w:t>
      </w:r>
    </w:p>
    <w:p w14:paraId="5BD68329">
      <w:pPr>
        <w:jc w:val="both"/>
      </w:pPr>
      <w:r>
        <w:rPr>
          <w:b w:val="0"/>
        </w:rPr>
        <w:t>7.2.4. Responder e às indagações da CONTRATADA, colocando à sua disposição informações que sejam necessários à regular execução dos serviços;</w:t>
      </w:r>
    </w:p>
    <w:p w14:paraId="2C94EA0E">
      <w:pPr>
        <w:jc w:val="both"/>
      </w:pPr>
      <w:r>
        <w:rPr>
          <w:b w:val="0"/>
        </w:rPr>
        <w:t>7.2.5. Disponibilizar materiais, equipamentos eletrônicos e local adequado para realização de treinamentos e orientações aos agentes públicos envolvidos e conforme objetivo contratual;</w:t>
      </w:r>
    </w:p>
    <w:p w14:paraId="06DFB688">
      <w:pPr>
        <w:jc w:val="both"/>
      </w:pPr>
      <w:r>
        <w:rPr>
          <w:b w:val="0"/>
        </w:rPr>
        <w:t>7.2.6. Receber as minutas de regulamentos, analisá-las, aprová-las, recebê-las de forma provisória e definitiva, bem como exercitar os poderes necessários para conversão das minutas em Resoluções Legislativas Normativas;</w:t>
      </w:r>
    </w:p>
    <w:p w14:paraId="1B41C6B5">
      <w:pPr>
        <w:jc w:val="both"/>
      </w:pPr>
      <w:r>
        <w:rPr>
          <w:b w:val="0"/>
        </w:rPr>
        <w:t>7.2.7. Comunicar imediatamente a CONTRATADA qualquer irregularidade verificada na execução dos serviços fornecidos;</w:t>
      </w:r>
    </w:p>
    <w:p w14:paraId="76D09D16">
      <w:pPr>
        <w:jc w:val="both"/>
      </w:pPr>
      <w:r>
        <w:rPr>
          <w:b w:val="0"/>
        </w:rPr>
        <w:t>7.2.8. Prestar, por meio de seu representante, as informações necessárias, bem como atestar as Notas Fiscais oriundas das obrigações contraídas;</w:t>
      </w:r>
    </w:p>
    <w:p w14:paraId="463A0A58">
      <w:pPr>
        <w:jc w:val="both"/>
      </w:pPr>
      <w:r>
        <w:rPr>
          <w:b w:val="0"/>
        </w:rPr>
        <w:t>7.2.9. Exercer a fiscalização dos serviços por meio de servidor designado, na forma prevista em lei;</w:t>
      </w:r>
    </w:p>
    <w:p w14:paraId="230A606C">
      <w:pPr>
        <w:jc w:val="both"/>
      </w:pPr>
      <w:r>
        <w:rPr>
          <w:b w:val="0"/>
        </w:rPr>
        <w:t>7.2.10. Garantir o livre acesso do empregado ou representante da CONTRATADA para execução dos serviços;</w:t>
      </w:r>
    </w:p>
    <w:p w14:paraId="1387B04D">
      <w:pPr>
        <w:jc w:val="both"/>
      </w:pPr>
      <w:r>
        <w:rPr>
          <w:b w:val="0"/>
        </w:rPr>
        <w:t>7.2.11. Aplicar, após garantir o contraditório e ampla defesa, as sanções administrativas, quando se façam necessárias;</w:t>
      </w:r>
    </w:p>
    <w:p w14:paraId="5C500AA4">
      <w:pPr>
        <w:jc w:val="both"/>
      </w:pPr>
      <w:r>
        <w:rPr>
          <w:b w:val="0"/>
        </w:rPr>
        <w:t>7.2.12. Cumprir outras obrigações previstas no Termo de Referência.</w:t>
      </w:r>
    </w:p>
    <w:p w14:paraId="1C318597">
      <w:pPr>
        <w:spacing w:before="240" w:after="0"/>
      </w:pP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2"/>
      </w:tblGrid>
      <w:tr w14:paraId="7B53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2" w:type="dxa"/>
            <w:shd w:val="clear" w:color="auto" w:fill="DDDDDD"/>
          </w:tcPr>
          <w:p w14:paraId="2C6648F4">
            <w:pPr>
              <w:spacing w:line="240" w:lineRule="auto"/>
              <w:jc w:val="center"/>
            </w:pPr>
            <w:r>
              <w:rPr>
                <w:b/>
              </w:rPr>
              <w:t>8. CLÁUSULA OITAVA - DA RESCISÃO</w:t>
            </w:r>
          </w:p>
        </w:tc>
      </w:tr>
    </w:tbl>
    <w:p w14:paraId="39FF45ED">
      <w:pPr>
        <w:spacing w:before="0" w:after="480"/>
      </w:pPr>
    </w:p>
    <w:p w14:paraId="59FDB20C">
      <w:pPr>
        <w:jc w:val="both"/>
      </w:pPr>
      <w:r>
        <w:t>8.1. Constituem motivos para rescisão sem indenizações:</w:t>
      </w:r>
    </w:p>
    <w:p w14:paraId="0B99212C">
      <w:pPr>
        <w:jc w:val="both"/>
      </w:pPr>
      <w:r>
        <w:t>8.1.1. O descumprimento de qualquer das cláusulas deste Contrato;</w:t>
      </w:r>
    </w:p>
    <w:p w14:paraId="4FAEDEFF">
      <w:pPr>
        <w:jc w:val="both"/>
      </w:pPr>
      <w:r>
        <w:t>8.1.2. A subcontratação total ou parcial do seu objeto;</w:t>
      </w:r>
    </w:p>
    <w:p w14:paraId="79F02DB4">
      <w:pPr>
        <w:jc w:val="both"/>
      </w:pPr>
      <w:r>
        <w:t>8.1.3. O cometimento reiterado de falta na sua execução;</w:t>
      </w:r>
    </w:p>
    <w:p w14:paraId="2CA6BA41">
      <w:pPr>
        <w:jc w:val="both"/>
      </w:pPr>
      <w:r>
        <w:t>8.1.4. Razões de interesse público de alta relevância e amplo conhecimento devidamente justificados pela máxima autoridade da Administração e exarada no processo administrativo a que se refere o Contrato;</w:t>
      </w:r>
    </w:p>
    <w:p w14:paraId="5B7CB4F1">
      <w:pPr>
        <w:jc w:val="both"/>
      </w:pPr>
      <w:r>
        <w:t>8.1.5. Ocorrência de caso fortuno ou força maior, regularmente comprovada impeditiva da execução do contrato;</w:t>
      </w:r>
    </w:p>
    <w:p w14:paraId="09055907">
      <w:pPr>
        <w:jc w:val="both"/>
      </w:pPr>
      <w:r>
        <w:t>8.2. É direito da Administração, em caso de rescisão administrativa, usar das prerrogativas do art. 137 a 139 da Lei nº 14.133/2021;</w:t>
      </w:r>
    </w:p>
    <w:p w14:paraId="6E8B12F9">
      <w:pPr>
        <w:jc w:val="both"/>
      </w:pPr>
      <w:r>
        <w:t>8.3. Extingue-se este contrato pelo transcurso normal do seu prazo;</w:t>
      </w:r>
    </w:p>
    <w:p w14:paraId="21125539">
      <w:pPr>
        <w:jc w:val="both"/>
      </w:pPr>
      <w:r>
        <w:t>8.4. A parte que der causa à rescisão do contrato, por inadimplemento, ficará sujeita a indenizar a outra dos prejuízos comprovados que esta vier a sofrer, além de multa no valor de 10% (dez por cento) do valor deste contrato.</w:t>
      </w:r>
    </w:p>
    <w:p w14:paraId="78DA55F8">
      <w:pPr>
        <w:spacing w:before="240" w:after="0"/>
      </w:pP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2"/>
      </w:tblGrid>
      <w:tr w14:paraId="6339C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972" w:type="dxa"/>
            <w:shd w:val="clear" w:color="auto" w:fill="DDDDDD"/>
          </w:tcPr>
          <w:p w14:paraId="36A7324A">
            <w:pPr>
              <w:spacing w:line="240" w:lineRule="auto"/>
              <w:jc w:val="center"/>
            </w:pPr>
            <w:r>
              <w:rPr>
                <w:b/>
              </w:rPr>
              <w:t>9. CLÁUSULA NONA - DAS SANÇÕES</w:t>
            </w:r>
          </w:p>
        </w:tc>
      </w:tr>
    </w:tbl>
    <w:p w14:paraId="14FD45C4">
      <w:pPr>
        <w:spacing w:before="0" w:after="480"/>
      </w:pPr>
    </w:p>
    <w:p w14:paraId="3CCA9602">
      <w:pPr>
        <w:jc w:val="both"/>
      </w:pPr>
      <w:r>
        <w:t>9.1. Pela inexecução total ou parcial deste Contrato, a Administração poderá garantido o contraditório e a ampla defesa aplicar as seguintes sanções:</w:t>
      </w:r>
    </w:p>
    <w:p w14:paraId="2C3945A6">
      <w:pPr>
        <w:jc w:val="both"/>
      </w:pPr>
      <w:r>
        <w:t>9.1.1. Advertência;</w:t>
      </w:r>
    </w:p>
    <w:p w14:paraId="2014CCCB">
      <w:pPr>
        <w:jc w:val="both"/>
      </w:pPr>
      <w:r>
        <w:t>9.1.2. Multa Administrativa conforme a gravidade da infração não excedendo em seu total, o equivalente a 10% (dez por cento) do valor do contrato, cumulável com as demais sanções;</w:t>
      </w:r>
    </w:p>
    <w:p w14:paraId="37B81A8F">
      <w:pPr>
        <w:jc w:val="both"/>
      </w:pPr>
      <w:r>
        <w:t>9.1.3. Suspensão temporária de participação em licitação e impedimento de contratar com o Município, por prazo não superior a 02 (dois) anos;</w:t>
      </w:r>
    </w:p>
    <w:p w14:paraId="0FC6ECDD">
      <w:pPr>
        <w:jc w:val="both"/>
      </w:pPr>
      <w:r>
        <w:t>9.1.4.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de acordo com o Art. 155 a 163 da Lei 14.133/2021;</w:t>
      </w:r>
    </w:p>
    <w:p w14:paraId="6A7196E3">
      <w:pPr>
        <w:spacing w:before="240" w:after="0"/>
      </w:pP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2"/>
      </w:tblGrid>
      <w:tr w14:paraId="56E6B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2" w:type="dxa"/>
            <w:shd w:val="clear" w:color="auto" w:fill="DDDDDD"/>
          </w:tcPr>
          <w:p w14:paraId="323F5C76">
            <w:pPr>
              <w:spacing w:line="240" w:lineRule="auto"/>
              <w:jc w:val="center"/>
            </w:pPr>
            <w:r>
              <w:rPr>
                <w:b/>
              </w:rPr>
              <w:t>10. CLÁUSULA DÉCIMA - DOS RECURSOS ORÇAMENTÁRIOS</w:t>
            </w:r>
          </w:p>
        </w:tc>
      </w:tr>
    </w:tbl>
    <w:p w14:paraId="433A089A">
      <w:pPr>
        <w:spacing w:before="0" w:after="480"/>
      </w:pPr>
    </w:p>
    <w:p w14:paraId="028E31E0">
      <w:pPr>
        <w:jc w:val="both"/>
      </w:pPr>
      <w:r>
        <w:t>10.1. As despesas decorrentes deste instrumento correrão por conta da seguinte dotação orçamentária:</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08"/>
        <w:gridCol w:w="7480"/>
      </w:tblGrid>
      <w:tr w14:paraId="4E30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67B7E509">
            <w:pPr>
              <w:spacing w:line="240" w:lineRule="auto"/>
              <w:jc w:val="center"/>
            </w:pPr>
            <w:r>
              <w:rPr>
                <w:b/>
              </w:rPr>
              <w:t>Código da Dotação</w:t>
            </w:r>
          </w:p>
        </w:tc>
        <w:tc>
          <w:tcPr>
            <w:tcW w:w="8505" w:type="dxa"/>
            <w:vAlign w:val="center"/>
          </w:tcPr>
          <w:p w14:paraId="24EEF86B">
            <w:pPr>
              <w:spacing w:line="240" w:lineRule="auto"/>
              <w:jc w:val="center"/>
            </w:pPr>
            <w:r>
              <w:rPr>
                <w:b/>
              </w:rPr>
              <w:t>Descrição da Dotação</w:t>
            </w:r>
          </w:p>
        </w:tc>
      </w:tr>
      <w:tr w14:paraId="6B89E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6A817928">
            <w:pPr>
              <w:spacing w:line="240" w:lineRule="auto"/>
              <w:jc w:val="both"/>
            </w:pPr>
            <w:r>
              <w:rPr>
                <w:b w:val="0"/>
              </w:rPr>
              <w:t>01</w:t>
            </w:r>
          </w:p>
        </w:tc>
        <w:tc>
          <w:tcPr>
            <w:tcW w:w="8505" w:type="dxa"/>
            <w:vAlign w:val="center"/>
          </w:tcPr>
          <w:p w14:paraId="7F875D6E">
            <w:pPr>
              <w:spacing w:line="240" w:lineRule="auto"/>
              <w:jc w:val="both"/>
            </w:pPr>
            <w:r>
              <w:rPr>
                <w:b w:val="0"/>
              </w:rPr>
              <w:t>Câmara Municipal</w:t>
            </w:r>
          </w:p>
        </w:tc>
      </w:tr>
      <w:tr w14:paraId="5637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18B7C262">
            <w:pPr>
              <w:spacing w:line="240" w:lineRule="auto"/>
              <w:jc w:val="both"/>
            </w:pPr>
            <w:r>
              <w:rPr>
                <w:b w:val="0"/>
              </w:rPr>
              <w:t>01.031.0001.2002</w:t>
            </w:r>
          </w:p>
        </w:tc>
        <w:tc>
          <w:tcPr>
            <w:tcW w:w="8505" w:type="dxa"/>
            <w:vAlign w:val="center"/>
          </w:tcPr>
          <w:p w14:paraId="1A4A4648">
            <w:pPr>
              <w:spacing w:line="240" w:lineRule="auto"/>
              <w:jc w:val="both"/>
            </w:pPr>
            <w:r>
              <w:rPr>
                <w:b w:val="0"/>
              </w:rPr>
              <w:t>Manutenção e encargos com o legislativo municipal</w:t>
            </w:r>
          </w:p>
        </w:tc>
      </w:tr>
      <w:tr w14:paraId="0B35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2FAAA35E">
            <w:pPr>
              <w:spacing w:line="240" w:lineRule="auto"/>
              <w:jc w:val="both"/>
            </w:pPr>
            <w:r>
              <w:rPr>
                <w:b w:val="0"/>
              </w:rPr>
              <w:t>3.3.90</w:t>
            </w:r>
          </w:p>
        </w:tc>
        <w:tc>
          <w:tcPr>
            <w:tcW w:w="6237" w:type="dxa"/>
            <w:vAlign w:val="center"/>
          </w:tcPr>
          <w:p w14:paraId="0C83C6B3">
            <w:pPr>
              <w:spacing w:line="240" w:lineRule="auto"/>
              <w:jc w:val="both"/>
            </w:pPr>
            <w:r>
              <w:rPr>
                <w:b w:val="0"/>
              </w:rPr>
              <w:t>Aplicações Diretas</w:t>
            </w:r>
          </w:p>
        </w:tc>
      </w:tr>
    </w:tbl>
    <w:p w14:paraId="3BD40E4E">
      <w:pPr>
        <w:jc w:val="both"/>
      </w:pPr>
      <w:r>
        <w:t>10.2. A CONTRATANTE providenciará, quando necessário, a suplementação da dotação orçamentária indicada no item anterior, observada a legislação orçamentária aplicável, a fim de assegurar o fiel cumprimento das obrigações decorrentes deste instrumento.</w:t>
      </w:r>
    </w:p>
    <w:p w14:paraId="7EADDE61">
      <w:pPr>
        <w:spacing w:before="240" w:after="0"/>
      </w:pP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2"/>
      </w:tblGrid>
      <w:tr w14:paraId="5811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2" w:type="dxa"/>
            <w:shd w:val="clear" w:color="auto" w:fill="DDDDDD"/>
          </w:tcPr>
          <w:p w14:paraId="79A70908">
            <w:pPr>
              <w:spacing w:line="240" w:lineRule="auto"/>
              <w:jc w:val="center"/>
            </w:pPr>
            <w:r>
              <w:rPr>
                <w:b/>
              </w:rPr>
              <w:t>11. CLÁUSULA DÉCIMA PRIMEIRA - DO FORO</w:t>
            </w:r>
          </w:p>
        </w:tc>
      </w:tr>
    </w:tbl>
    <w:p w14:paraId="448AB79A">
      <w:pPr>
        <w:spacing w:before="0" w:after="480"/>
      </w:pPr>
    </w:p>
    <w:p w14:paraId="4E22F9F7">
      <w:pPr>
        <w:jc w:val="both"/>
      </w:pPr>
      <w:r>
        <w:t>11.1. O foro da Comarca de Jauru, Estado de Mato Grosso, é o competente para dirimir eventuais pendências acerca deste contrato, na forma da lei nacional de licitações, art. 92, § 2º.</w:t>
      </w:r>
    </w:p>
    <w:p w14:paraId="05B69BCD">
      <w:pPr>
        <w:spacing w:before="240" w:after="0"/>
      </w:pP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2"/>
      </w:tblGrid>
      <w:tr w14:paraId="6E6AD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2" w:type="dxa"/>
            <w:shd w:val="clear" w:color="auto" w:fill="DDDDDD"/>
          </w:tcPr>
          <w:p w14:paraId="33DD8B54">
            <w:pPr>
              <w:spacing w:line="240" w:lineRule="auto"/>
              <w:jc w:val="center"/>
            </w:pPr>
            <w:r>
              <w:rPr>
                <w:b/>
              </w:rPr>
              <w:t>12. CLÁUSULA DÉCIMA SEGUNDA - DISPOSIÇÕES FINAIS</w:t>
            </w:r>
          </w:p>
        </w:tc>
      </w:tr>
    </w:tbl>
    <w:p w14:paraId="21E2A7AA">
      <w:pPr>
        <w:spacing w:before="0" w:after="480"/>
      </w:pPr>
    </w:p>
    <w:p w14:paraId="6175134B">
      <w:pPr>
        <w:jc w:val="both"/>
      </w:pPr>
      <w:r>
        <w:t>12.1. Este contrato se sujeita ainda, no que couber, às Leis Municipais inerentes ao seu assunto e ao Código Civil Brasileiro. E, por estarem justos e contratados, assinam o presente instrumento em 02 (duas) vias de igual teor e forma, na presença de duas testemunhas.</w:t>
      </w:r>
    </w:p>
    <w:p w14:paraId="62EDACF1">
      <w:pPr>
        <w:jc w:val="center"/>
      </w:pPr>
      <w:r>
        <w:t>Figueirópolis D'Oeste - MT, 1</w:t>
      </w:r>
      <w:r>
        <w:rPr>
          <w:rFonts w:hint="default"/>
          <w:lang w:val="pt-BR"/>
        </w:rPr>
        <w:t>5</w:t>
      </w:r>
      <w:r>
        <w:t xml:space="preserve"> de setembro de 2026.</w:t>
      </w:r>
    </w:p>
    <w:p w14:paraId="1C930D27"/>
    <w:p w14:paraId="32668D3B">
      <w:bookmarkStart w:id="0" w:name="_GoBack"/>
      <w:bookmarkEnd w:id="0"/>
    </w:p>
    <w:tbl>
      <w:tblPr>
        <w:tblStyle w:val="12"/>
        <w:tblW w:w="0" w:type="auto"/>
        <w:jc w:val="center"/>
        <w:tblLayout w:type="autofit"/>
        <w:tblCellMar>
          <w:top w:w="0" w:type="dxa"/>
          <w:left w:w="108" w:type="dxa"/>
          <w:bottom w:w="0" w:type="dxa"/>
          <w:right w:w="108" w:type="dxa"/>
        </w:tblCellMar>
      </w:tblPr>
      <w:tblGrid>
        <w:gridCol w:w="4986"/>
        <w:gridCol w:w="4986"/>
      </w:tblGrid>
      <w:tr w14:paraId="243FBCCD">
        <w:tblPrEx>
          <w:tblCellMar>
            <w:top w:w="0" w:type="dxa"/>
            <w:left w:w="108" w:type="dxa"/>
            <w:bottom w:w="0" w:type="dxa"/>
            <w:right w:w="108" w:type="dxa"/>
          </w:tblCellMar>
        </w:tblPrEx>
        <w:trPr>
          <w:jc w:val="center"/>
        </w:trPr>
        <w:tc>
          <w:tcPr>
            <w:tcW w:w="4986" w:type="dxa"/>
            <w:vAlign w:val="center"/>
          </w:tcPr>
          <w:p w14:paraId="0B53D2A8">
            <w:pPr>
              <w:jc w:val="center"/>
            </w:pPr>
            <w:r>
              <w:rPr>
                <w:b/>
              </w:rPr>
              <w:t>______________________________________</w:t>
            </w:r>
            <w:r>
              <w:rPr>
                <w:b/>
              </w:rPr>
              <w:br w:type="textWrapping"/>
            </w:r>
            <w:r>
              <w:rPr>
                <w:b/>
              </w:rPr>
              <w:t>Câmara Municipal de Figueirópolis D’Oeste</w:t>
            </w:r>
            <w:r>
              <w:rPr>
                <w:b/>
              </w:rPr>
              <w:br w:type="textWrapping"/>
            </w:r>
            <w:r>
              <w:rPr>
                <w:b/>
              </w:rPr>
              <w:t>CONTRATANTE</w:t>
            </w:r>
          </w:p>
        </w:tc>
        <w:tc>
          <w:tcPr>
            <w:tcW w:w="4986" w:type="dxa"/>
            <w:vAlign w:val="center"/>
          </w:tcPr>
          <w:p w14:paraId="7747B4C6">
            <w:pPr>
              <w:jc w:val="center"/>
            </w:pPr>
            <w:r>
              <w:rPr>
                <w:b/>
              </w:rPr>
              <w:t>______________________________________</w:t>
            </w:r>
            <w:r>
              <w:rPr>
                <w:b/>
              </w:rPr>
              <w:br w:type="textWrapping"/>
            </w:r>
            <w:r>
              <w:rPr>
                <w:b/>
              </w:rPr>
              <w:t>POLICON TECNOLOGIA E GESTAO LTDA</w:t>
            </w:r>
            <w:r>
              <w:rPr>
                <w:b/>
              </w:rPr>
              <w:br w:type="textWrapping"/>
            </w:r>
            <w:r>
              <w:rPr>
                <w:b/>
              </w:rPr>
              <w:t>CONTRATADA</w:t>
            </w:r>
          </w:p>
        </w:tc>
      </w:tr>
    </w:tbl>
    <w:p w14:paraId="63E6F233">
      <w:pPr>
        <w:jc w:val="both"/>
      </w:pPr>
    </w:p>
    <w:p w14:paraId="4044AD5D">
      <w:pPr>
        <w:jc w:val="both"/>
      </w:pPr>
    </w:p>
    <w:p w14:paraId="36C92634">
      <w:pPr>
        <w:jc w:val="both"/>
      </w:pPr>
      <w:r>
        <w:t>Testemunhas:</w:t>
      </w:r>
    </w:p>
    <w:p w14:paraId="1026CD96">
      <w:pPr>
        <w:jc w:val="both"/>
      </w:pPr>
    </w:p>
    <w:p w14:paraId="7E6A03BB">
      <w:pPr>
        <w:jc w:val="both"/>
      </w:pPr>
      <w:r>
        <w:br w:type="textWrapping"/>
      </w:r>
      <w:r>
        <w:t xml:space="preserve">1. ______________________________________ </w:t>
      </w:r>
    </w:p>
    <w:p w14:paraId="52025B40">
      <w:pPr>
        <w:jc w:val="both"/>
      </w:pPr>
      <w:r>
        <w:t>CPF:__________________________</w:t>
      </w:r>
      <w:r>
        <w:br w:type="textWrapping"/>
      </w:r>
    </w:p>
    <w:p w14:paraId="34CD0763">
      <w:pPr>
        <w:jc w:val="both"/>
      </w:pPr>
    </w:p>
    <w:p w14:paraId="261DDA83">
      <w:pPr>
        <w:jc w:val="both"/>
        <w:rPr>
          <w:rFonts w:hint="default"/>
          <w:lang w:val="pt-BR"/>
        </w:rPr>
      </w:pPr>
      <w:r>
        <w:t>2. ______________________________________</w:t>
      </w:r>
      <w:r>
        <w:rPr>
          <w:rFonts w:hint="default"/>
          <w:lang w:val="pt-BR"/>
        </w:rPr>
        <w:t>_____</w:t>
      </w:r>
    </w:p>
    <w:p w14:paraId="70933D17">
      <w:pPr>
        <w:jc w:val="both"/>
      </w:pPr>
      <w:r>
        <w:rPr>
          <w:rFonts w:hint="default"/>
          <w:lang w:val="pt-BR"/>
        </w:rPr>
        <w:t>C</w:t>
      </w:r>
      <w:r>
        <w:t>PF: __________________________</w:t>
      </w:r>
    </w:p>
    <w:sectPr>
      <w:headerReference r:id="rId5" w:type="default"/>
      <w:footerReference r:id="rId6" w:type="default"/>
      <w:pgSz w:w="12240" w:h="15840"/>
      <w:pgMar w:top="1134" w:right="1134" w:bottom="1134"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C4FCD">
    <w:pPr>
      <w:pStyle w:val="27"/>
      <w:pBdr>
        <w:top w:val="single" w:color="000000" w:sz="6" w:space="1"/>
      </w:pBdr>
      <w:spacing w:before="80" w:after="0"/>
      <w:jc w:val="center"/>
    </w:pPr>
    <w:r>
      <w:rPr>
        <w:sz w:val="16"/>
      </w:rPr>
      <w:t>Rua Rio Grande do Sul, nº 142 - Centro - Figueirópolis d'Oeste - MT - Fone: (65) 3235-1122</w:t>
    </w:r>
    <w:r>
      <w:rPr>
        <w:sz w:val="16"/>
      </w:rPr>
      <w:br w:type="textWrapping"/>
    </w:r>
    <w:r>
      <w:rPr>
        <w:sz w:val="16"/>
      </w:rPr>
      <w:t>CNPJ: 01.367.804/0001-96 - Email: camara@figueiropolisdoeste.mt.gov.br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3AD8E">
    <w:pPr>
      <w:pStyle w:val="25"/>
      <w:jc w:val="center"/>
    </w:pPr>
    <w:r>
      <w:drawing>
        <wp:inline distT="0" distB="0" distL="114300" distR="114300">
          <wp:extent cx="5759450" cy="922020"/>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5760000" cy="9225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2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19"/>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34"/>
      <w:lvlText w:val=""/>
      <w:lvlJc w:val="left"/>
      <w:pPr>
        <w:tabs>
          <w:tab w:val="left" w:pos="360"/>
        </w:tabs>
        <w:ind w:left="360" w:hanging="360"/>
      </w:pPr>
      <w:rPr>
        <w:rFonts w:hint="default" w:ascii="Symbol" w:hAnsi="Symbol"/>
      </w:rPr>
    </w:lvl>
  </w:abstractNum>
  <w:num w:numId="1">
    <w:abstractNumId w:val="2"/>
  </w:num>
  <w:num w:numId="2">
    <w:abstractNumId w:val="3"/>
  </w:num>
  <w:num w:numId="3">
    <w:abstractNumId w:val="1"/>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AC30DA3"/>
    <w:rsid w:val="4ABB6E02"/>
    <w:rsid w:val="6D6D17E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76" w:lineRule="auto"/>
    </w:pPr>
    <w:rPr>
      <w:rFonts w:ascii="Times New Roman" w:hAnsi="Times New Roman" w:eastAsiaTheme="minorEastAsia" w:cstheme="minorBidi"/>
      <w:sz w:val="24"/>
      <w:szCs w:val="22"/>
      <w:lang w:val="pt-BR" w:eastAsia="pt-BR" w:bidi="pt-BR"/>
    </w:rPr>
  </w:style>
  <w:style w:type="paragraph" w:styleId="2">
    <w:name w:val="heading 1"/>
    <w:basedOn w:val="1"/>
    <w:next w:val="1"/>
    <w:link w:val="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Strong"/>
    <w:basedOn w:val="11"/>
    <w:qFormat/>
    <w:uiPriority w:val="22"/>
    <w:rPr>
      <w:b/>
      <w:bCs/>
    </w:rPr>
  </w:style>
  <w:style w:type="character" w:styleId="14">
    <w:name w:val="Emphasis"/>
    <w:basedOn w:val="11"/>
    <w:qFormat/>
    <w:uiPriority w:val="20"/>
    <w:rPr>
      <w:i/>
      <w:iCs/>
    </w:rPr>
  </w:style>
  <w:style w:type="paragraph" w:styleId="15">
    <w:name w:val="List"/>
    <w:basedOn w:val="1"/>
    <w:unhideWhenUsed/>
    <w:qFormat/>
    <w:uiPriority w:val="99"/>
    <w:pPr>
      <w:ind w:left="360" w:hanging="360"/>
      <w:contextualSpacing/>
    </w:pPr>
  </w:style>
  <w:style w:type="paragraph" w:styleId="16">
    <w:name w:val="Body Text"/>
    <w:basedOn w:val="1"/>
    <w:link w:val="46"/>
    <w:unhideWhenUsed/>
    <w:qFormat/>
    <w:uiPriority w:val="99"/>
    <w:pPr>
      <w:spacing w:after="120"/>
    </w:pPr>
  </w:style>
  <w:style w:type="paragraph" w:styleId="17">
    <w:name w:val="Title"/>
    <w:basedOn w:val="1"/>
    <w:next w:val="1"/>
    <w:link w:val="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18">
    <w:name w:val="List Bullet 3"/>
    <w:basedOn w:val="1"/>
    <w:unhideWhenUsed/>
    <w:qFormat/>
    <w:uiPriority w:val="99"/>
    <w:pPr>
      <w:numPr>
        <w:ilvl w:val="0"/>
        <w:numId w:val="1"/>
      </w:numPr>
      <w:contextualSpacing/>
    </w:pPr>
  </w:style>
  <w:style w:type="paragraph" w:styleId="19">
    <w:name w:val="List Bullet 2"/>
    <w:basedOn w:val="1"/>
    <w:unhideWhenUsed/>
    <w:qFormat/>
    <w:uiPriority w:val="99"/>
    <w:pPr>
      <w:numPr>
        <w:ilvl w:val="0"/>
        <w:numId w:val="2"/>
      </w:numPr>
      <w:contextualSpacing/>
    </w:pPr>
  </w:style>
  <w:style w:type="paragraph" w:styleId="20">
    <w:name w:val="macro"/>
    <w:link w:val="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pt-BR" w:eastAsia="pt-BR" w:bidi="pt-BR"/>
    </w:rPr>
  </w:style>
  <w:style w:type="paragraph" w:styleId="21">
    <w:name w:val="List Continue"/>
    <w:basedOn w:val="1"/>
    <w:unhideWhenUsed/>
    <w:qFormat/>
    <w:uiPriority w:val="99"/>
    <w:pPr>
      <w:spacing w:after="120"/>
      <w:ind w:left="360"/>
      <w:contextualSpacing/>
    </w:pPr>
  </w:style>
  <w:style w:type="paragraph" w:styleId="22">
    <w:name w:val="Body Text 3"/>
    <w:basedOn w:val="1"/>
    <w:link w:val="48"/>
    <w:unhideWhenUsed/>
    <w:qFormat/>
    <w:uiPriority w:val="99"/>
    <w:pPr>
      <w:spacing w:after="120"/>
    </w:pPr>
    <w:rPr>
      <w:sz w:val="16"/>
      <w:szCs w:val="16"/>
    </w:rPr>
  </w:style>
  <w:style w:type="paragraph" w:styleId="23">
    <w:name w:val="List Number 2"/>
    <w:basedOn w:val="1"/>
    <w:unhideWhenUsed/>
    <w:qFormat/>
    <w:uiPriority w:val="99"/>
    <w:pPr>
      <w:numPr>
        <w:ilvl w:val="0"/>
        <w:numId w:val="3"/>
      </w:numPr>
      <w:contextualSpacing/>
    </w:pPr>
  </w:style>
  <w:style w:type="paragraph" w:styleId="24">
    <w:name w:val="Body Text 2"/>
    <w:basedOn w:val="1"/>
    <w:link w:val="47"/>
    <w:unhideWhenUsed/>
    <w:qFormat/>
    <w:uiPriority w:val="99"/>
    <w:pPr>
      <w:spacing w:after="120" w:line="480" w:lineRule="auto"/>
    </w:pPr>
  </w:style>
  <w:style w:type="paragraph" w:styleId="25">
    <w:name w:val="header"/>
    <w:basedOn w:val="1"/>
    <w:link w:val="37"/>
    <w:unhideWhenUsed/>
    <w:qFormat/>
    <w:uiPriority w:val="99"/>
    <w:pPr>
      <w:tabs>
        <w:tab w:val="center" w:pos="4680"/>
        <w:tab w:val="right" w:pos="9360"/>
      </w:tabs>
      <w:spacing w:after="0" w:line="240" w:lineRule="auto"/>
    </w:pPr>
  </w:style>
  <w:style w:type="paragraph" w:styleId="26">
    <w:name w:val="List Continue 3"/>
    <w:basedOn w:val="1"/>
    <w:unhideWhenUsed/>
    <w:qFormat/>
    <w:uiPriority w:val="99"/>
    <w:pPr>
      <w:spacing w:after="120"/>
      <w:ind w:left="1080"/>
      <w:contextualSpacing/>
    </w:pPr>
  </w:style>
  <w:style w:type="paragraph" w:styleId="27">
    <w:name w:val="footer"/>
    <w:basedOn w:val="1"/>
    <w:link w:val="38"/>
    <w:unhideWhenUsed/>
    <w:qFormat/>
    <w:uiPriority w:val="99"/>
    <w:pPr>
      <w:tabs>
        <w:tab w:val="center" w:pos="4680"/>
        <w:tab w:val="right" w:pos="9360"/>
      </w:tabs>
      <w:spacing w:after="0" w:line="240" w:lineRule="auto"/>
    </w:pPr>
  </w:style>
  <w:style w:type="paragraph" w:styleId="28">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29">
    <w:name w:val="List Continue 2"/>
    <w:basedOn w:val="1"/>
    <w:unhideWhenUsed/>
    <w:qFormat/>
    <w:uiPriority w:val="99"/>
    <w:pPr>
      <w:spacing w:after="120"/>
      <w:ind w:left="720"/>
      <w:contextualSpacing/>
    </w:pPr>
  </w:style>
  <w:style w:type="paragraph" w:styleId="30">
    <w:name w:val="List 3"/>
    <w:basedOn w:val="1"/>
    <w:unhideWhenUsed/>
    <w:qFormat/>
    <w:uiPriority w:val="99"/>
    <w:pPr>
      <w:ind w:left="1080" w:hanging="360"/>
      <w:contextualSpacing/>
    </w:pPr>
  </w:style>
  <w:style w:type="paragraph" w:styleId="31">
    <w:name w:val="List Number 3"/>
    <w:basedOn w:val="1"/>
    <w:unhideWhenUsed/>
    <w:qFormat/>
    <w:uiPriority w:val="99"/>
    <w:pPr>
      <w:numPr>
        <w:ilvl w:val="0"/>
        <w:numId w:val="4"/>
      </w:numPr>
      <w:contextualSpacing/>
    </w:pPr>
  </w:style>
  <w:style w:type="paragraph" w:styleId="32">
    <w:name w:val="Subtitle"/>
    <w:basedOn w:val="1"/>
    <w:next w:val="1"/>
    <w:link w:val="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3">
    <w:name w:val="List 2"/>
    <w:basedOn w:val="1"/>
    <w:unhideWhenUsed/>
    <w:qFormat/>
    <w:uiPriority w:val="99"/>
    <w:pPr>
      <w:ind w:left="720" w:hanging="360"/>
      <w:contextualSpacing/>
    </w:pPr>
  </w:style>
  <w:style w:type="paragraph" w:styleId="34">
    <w:name w:val="List Bullet"/>
    <w:basedOn w:val="1"/>
    <w:unhideWhenUsed/>
    <w:qFormat/>
    <w:uiPriority w:val="99"/>
    <w:pPr>
      <w:numPr>
        <w:ilvl w:val="0"/>
        <w:numId w:val="5"/>
      </w:numPr>
      <w:contextualSpacing/>
    </w:pPr>
  </w:style>
  <w:style w:type="paragraph" w:styleId="35">
    <w:name w:val="List Number"/>
    <w:basedOn w:val="1"/>
    <w:unhideWhenUsed/>
    <w:qFormat/>
    <w:uiPriority w:val="99"/>
    <w:pPr>
      <w:numPr>
        <w:ilvl w:val="0"/>
        <w:numId w:val="6"/>
      </w:numPr>
      <w:contextualSpacing/>
    </w:pPr>
  </w:style>
  <w:style w:type="table" w:styleId="36">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7">
    <w:name w:val="Header Char"/>
    <w:basedOn w:val="11"/>
    <w:link w:val="25"/>
    <w:qFormat/>
    <w:uiPriority w:val="99"/>
  </w:style>
  <w:style w:type="character" w:customStyle="1" w:styleId="38">
    <w:name w:val="Footer Char"/>
    <w:basedOn w:val="11"/>
    <w:link w:val="27"/>
    <w:qFormat/>
    <w:uiPriority w:val="99"/>
  </w:style>
  <w:style w:type="paragraph" w:styleId="39">
    <w:name w:val="No Spacing"/>
    <w:qFormat/>
    <w:uiPriority w:val="1"/>
    <w:pPr>
      <w:spacing w:after="0" w:line="240" w:lineRule="auto"/>
    </w:pPr>
    <w:rPr>
      <w:rFonts w:asciiTheme="minorHAnsi" w:hAnsiTheme="minorHAnsi" w:eastAsiaTheme="minorEastAsia" w:cstheme="minorBidi"/>
      <w:sz w:val="22"/>
      <w:szCs w:val="22"/>
      <w:lang w:val="pt-BR" w:eastAsia="pt-BR" w:bidi="pt-BR"/>
    </w:rPr>
  </w:style>
  <w:style w:type="character" w:customStyle="1" w:styleId="40">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41">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42">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43">
    <w:name w:val="Title Char"/>
    <w:basedOn w:val="11"/>
    <w:link w:val="17"/>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44">
    <w:name w:val="Subtitle Char"/>
    <w:basedOn w:val="11"/>
    <w:link w:val="3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45">
    <w:name w:val="List Paragraph"/>
    <w:basedOn w:val="1"/>
    <w:qFormat/>
    <w:uiPriority w:val="34"/>
    <w:pPr>
      <w:ind w:left="720"/>
      <w:contextualSpacing/>
    </w:pPr>
  </w:style>
  <w:style w:type="character" w:customStyle="1" w:styleId="46">
    <w:name w:val="Body Text Char"/>
    <w:basedOn w:val="11"/>
    <w:link w:val="16"/>
    <w:qFormat/>
    <w:uiPriority w:val="99"/>
  </w:style>
  <w:style w:type="character" w:customStyle="1" w:styleId="47">
    <w:name w:val="Body Text 2 Char"/>
    <w:basedOn w:val="11"/>
    <w:link w:val="24"/>
    <w:qFormat/>
    <w:uiPriority w:val="99"/>
  </w:style>
  <w:style w:type="character" w:customStyle="1" w:styleId="48">
    <w:name w:val="Body Text 3 Char"/>
    <w:basedOn w:val="11"/>
    <w:link w:val="22"/>
    <w:qFormat/>
    <w:uiPriority w:val="99"/>
    <w:rPr>
      <w:sz w:val="16"/>
      <w:szCs w:val="16"/>
    </w:rPr>
  </w:style>
  <w:style w:type="character" w:customStyle="1" w:styleId="49">
    <w:name w:val="Macro Text Char"/>
    <w:basedOn w:val="11"/>
    <w:link w:val="20"/>
    <w:qFormat/>
    <w:uiPriority w:val="99"/>
    <w:rPr>
      <w:rFonts w:ascii="Courier" w:hAnsi="Courier"/>
      <w:sz w:val="20"/>
      <w:szCs w:val="20"/>
    </w:rPr>
  </w:style>
  <w:style w:type="paragraph" w:styleId="50">
    <w:name w:val="Quote"/>
    <w:basedOn w:val="1"/>
    <w:next w:val="1"/>
    <w:link w:val="51"/>
    <w:qFormat/>
    <w:uiPriority w:val="29"/>
    <w:rPr>
      <w:i/>
      <w:iCs/>
      <w:color w:val="000000" w:themeColor="text1"/>
      <w14:textFill>
        <w14:solidFill>
          <w14:schemeClr w14:val="tx1"/>
        </w14:solidFill>
      </w14:textFill>
    </w:rPr>
  </w:style>
  <w:style w:type="character" w:customStyle="1" w:styleId="51">
    <w:name w:val="Quote Char"/>
    <w:basedOn w:val="11"/>
    <w:link w:val="50"/>
    <w:qFormat/>
    <w:uiPriority w:val="29"/>
    <w:rPr>
      <w:i/>
      <w:iCs/>
      <w:color w:val="000000" w:themeColor="text1"/>
      <w14:textFill>
        <w14:solidFill>
          <w14:schemeClr w14:val="tx1"/>
        </w14:solidFill>
      </w14:textFill>
    </w:rPr>
  </w:style>
  <w:style w:type="character" w:customStyle="1" w:styleId="52">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53">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54">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55">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56">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57">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58">
    <w:name w:val="Intense Quote"/>
    <w:basedOn w:val="1"/>
    <w:next w:val="1"/>
    <w:link w:val="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59">
    <w:name w:val="Intense Quote Char"/>
    <w:basedOn w:val="11"/>
    <w:link w:val="58"/>
    <w:qFormat/>
    <w:uiPriority w:val="30"/>
    <w:rPr>
      <w:b/>
      <w:bCs/>
      <w:i/>
      <w:iCs/>
      <w:color w:val="4F81BD" w:themeColor="accent1"/>
      <w14:textFill>
        <w14:solidFill>
          <w14:schemeClr w14:val="accent1"/>
        </w14:solidFill>
      </w14:textFill>
    </w:rPr>
  </w:style>
  <w:style w:type="character" w:customStyle="1" w:styleId="60">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61">
    <w:name w:val="Intense Emphasis"/>
    <w:basedOn w:val="11"/>
    <w:qFormat/>
    <w:uiPriority w:val="21"/>
    <w:rPr>
      <w:b/>
      <w:bCs/>
      <w:i/>
      <w:iCs/>
      <w:color w:val="4F81BD" w:themeColor="accent1"/>
      <w14:textFill>
        <w14:solidFill>
          <w14:schemeClr w14:val="accent1"/>
        </w14:solidFill>
      </w14:textFill>
    </w:rPr>
  </w:style>
  <w:style w:type="character" w:customStyle="1" w:styleId="62">
    <w:name w:val="Subtle Reference"/>
    <w:basedOn w:val="11"/>
    <w:qFormat/>
    <w:uiPriority w:val="31"/>
    <w:rPr>
      <w:smallCaps/>
      <w:color w:val="C0504D" w:themeColor="accent2"/>
      <w:u w:val="single"/>
      <w14:textFill>
        <w14:solidFill>
          <w14:schemeClr w14:val="accent2"/>
        </w14:solidFill>
      </w14:textFill>
    </w:rPr>
  </w:style>
  <w:style w:type="character" w:customStyle="1" w:styleId="63">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64">
    <w:name w:val="Book Title"/>
    <w:basedOn w:val="11"/>
    <w:qFormat/>
    <w:uiPriority w:val="33"/>
    <w:rPr>
      <w:b/>
      <w:bCs/>
      <w:smallCaps/>
      <w:spacing w:val="5"/>
    </w:rPr>
  </w:style>
  <w:style w:type="paragraph" w:customStyle="1" w:styleId="65">
    <w:name w:val="TOC Heading"/>
    <w:basedOn w:val="2"/>
    <w:next w:val="1"/>
    <w:semiHidden/>
    <w:unhideWhenUsed/>
    <w:qFormat/>
    <w:uiPriority w:val="39"/>
    <w:pPr>
      <w:outlineLvl w:val="9"/>
    </w:pPr>
  </w:style>
  <w:style w:type="table" w:styleId="66">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styleId="67">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hemeFill="accent1" w:themeFillTint="3F"/>
      </w:tcPr>
    </w:tblStylePr>
    <w:tblStylePr w:type="band1Horz">
      <w:tcPr>
        <w:tcBorders>
          <w:left w:val="nil"/>
          <w:right w:val="nil"/>
          <w:insideH w:val="nil"/>
          <w:insideV w:val="nil"/>
        </w:tcBorders>
        <w:shd w:val="clear" w:color="auto" w:fill="D3DFEE" w:themeFill="accent1" w:themeFillTint="3F"/>
      </w:tcPr>
    </w:tblStylePr>
  </w:style>
  <w:style w:type="table" w:styleId="68">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3" w:themeFill="accent2" w:themeFillTint="3F"/>
      </w:tcPr>
    </w:tblStylePr>
    <w:tblStylePr w:type="band1Horz">
      <w:tcPr>
        <w:tcBorders>
          <w:left w:val="nil"/>
          <w:right w:val="nil"/>
          <w:insideH w:val="nil"/>
          <w:insideV w:val="nil"/>
        </w:tcBorders>
        <w:shd w:val="clear" w:color="auto" w:fill="EFD3D3" w:themeFill="accent2" w:themeFillTint="3F"/>
      </w:tcPr>
    </w:tblStylePr>
  </w:style>
  <w:style w:type="table" w:styleId="69">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6EED5" w:themeFill="accent3" w:themeFillTint="3F"/>
      </w:tcPr>
    </w:tblStylePr>
    <w:tblStylePr w:type="band1Horz">
      <w:tcPr>
        <w:tcBorders>
          <w:left w:val="nil"/>
          <w:right w:val="nil"/>
          <w:insideH w:val="nil"/>
          <w:insideV w:val="nil"/>
        </w:tcBorders>
        <w:shd w:val="clear" w:color="auto" w:fill="E6EED5" w:themeFill="accent3" w:themeFillTint="3F"/>
      </w:tcPr>
    </w:tblStylePr>
  </w:style>
  <w:style w:type="table" w:styleId="70">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FD8E8" w:themeFill="accent4" w:themeFillTint="3F"/>
      </w:tcPr>
    </w:tblStylePr>
    <w:tblStylePr w:type="band1Horz">
      <w:tcPr>
        <w:tcBorders>
          <w:left w:val="nil"/>
          <w:right w:val="nil"/>
          <w:insideH w:val="nil"/>
          <w:insideV w:val="nil"/>
        </w:tcBorders>
        <w:shd w:val="clear" w:color="auto" w:fill="DFD8E8" w:themeFill="accent4" w:themeFillTint="3F"/>
      </w:tcPr>
    </w:tblStylePr>
  </w:style>
  <w:style w:type="table" w:styleId="71">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2EAF0" w:themeFill="accent5" w:themeFillTint="3F"/>
      </w:tcPr>
    </w:tblStylePr>
    <w:tblStylePr w:type="band1Horz">
      <w:tcPr>
        <w:tcBorders>
          <w:left w:val="nil"/>
          <w:right w:val="nil"/>
          <w:insideH w:val="nil"/>
          <w:insideV w:val="nil"/>
        </w:tcBorders>
        <w:shd w:val="clear" w:color="auto" w:fill="D2EAF0" w:themeFill="accent5" w:themeFillTint="3F"/>
      </w:tcPr>
    </w:tblStylePr>
  </w:style>
  <w:style w:type="table" w:styleId="72">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FDE5D1" w:themeFill="accent6" w:themeFillTint="3F"/>
      </w:tcPr>
    </w:tblStylePr>
    <w:tblStylePr w:type="band1Horz">
      <w:tcPr>
        <w:tcBorders>
          <w:left w:val="nil"/>
          <w:right w:val="nil"/>
          <w:insideH w:val="nil"/>
          <w:insideV w:val="nil"/>
        </w:tcBorders>
        <w:shd w:val="clear" w:color="auto" w:fill="FDE5D1" w:themeFill="accent6" w:themeFillTint="3F"/>
      </w:tcPr>
    </w:tblStylePr>
  </w:style>
  <w:style w:type="table" w:styleId="73">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74">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F81BD" w:themeFill="accent1"/>
      </w:tcPr>
    </w:tblStylePr>
    <w:tblStylePr w:type="lastRow">
      <w:pPr>
        <w:spacing w:before="0" w:after="0" w:line="240" w:lineRule="auto"/>
      </w:pPr>
      <w:rPr>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75">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C0504D" w:themeFill="accent2"/>
      </w:tcPr>
    </w:tblStylePr>
    <w:tblStylePr w:type="lastRow">
      <w:pPr>
        <w:spacing w:before="0" w:after="0" w:line="240" w:lineRule="auto"/>
      </w:pPr>
      <w:rPr>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76">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9BBB59" w:themeFill="accent3"/>
      </w:tcPr>
    </w:tblStylePr>
    <w:tblStylePr w:type="lastRow">
      <w:pPr>
        <w:spacing w:before="0" w:after="0" w:line="240" w:lineRule="auto"/>
      </w:pPr>
      <w:rPr>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77">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8064A2" w:themeFill="accent4"/>
      </w:tcPr>
    </w:tblStylePr>
    <w:tblStylePr w:type="lastRow">
      <w:pPr>
        <w:spacing w:before="0" w:after="0" w:line="240" w:lineRule="auto"/>
      </w:pPr>
      <w:rPr>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78">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BACC6" w:themeFill="accent5"/>
      </w:tcPr>
    </w:tblStylePr>
    <w:tblStylePr w:type="lastRow">
      <w:pPr>
        <w:spacing w:before="0" w:after="0" w:line="240" w:lineRule="auto"/>
      </w:pPr>
      <w:rPr>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79">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F79646" w:themeFill="accent6"/>
      </w:tcPr>
    </w:tblStylePr>
    <w:tblStylePr w:type="lastRow">
      <w:pPr>
        <w:spacing w:before="0" w:after="0" w:line="240" w:lineRule="auto"/>
      </w:pPr>
      <w:rPr>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80">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81">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82">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83">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84">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85">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86">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87">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styleId="88">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3DFEE" w:themeFill="accent1" w:themeFillTint="3F"/>
      </w:tcPr>
    </w:tblStylePr>
    <w:tblStylePr w:type="band1Horz">
      <w:tcPr>
        <w:tcBorders>
          <w:insideH w:val="nil"/>
          <w:insideV w:val="nil"/>
        </w:tcBorders>
        <w:shd w:val="clear" w:color="auto" w:fill="D3DFEE" w:themeFill="accent1" w:themeFillTint="3F"/>
      </w:tcPr>
    </w:tblStylePr>
    <w:tblStylePr w:type="band2Horz">
      <w:tcPr>
        <w:tcBorders>
          <w:insideH w:val="nil"/>
          <w:insideV w:val="nil"/>
        </w:tcBorders>
      </w:tcPr>
    </w:tblStylePr>
  </w:style>
  <w:style w:type="table" w:styleId="89">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cPr>
        <w:shd w:val="clear" w:color="auto" w:fill="EFD3D3" w:themeFill="accent2" w:themeFillTint="3F"/>
      </w:tcPr>
    </w:tblStylePr>
    <w:tblStylePr w:type="band1Horz">
      <w:tcPr>
        <w:tcBorders>
          <w:insideH w:val="nil"/>
          <w:insideV w:val="nil"/>
        </w:tcBorders>
        <w:shd w:val="clear" w:color="auto" w:fill="EFD3D3" w:themeFill="accent2" w:themeFillTint="3F"/>
      </w:tcPr>
    </w:tblStylePr>
    <w:tblStylePr w:type="band2Horz">
      <w:tcPr>
        <w:tcBorders>
          <w:insideH w:val="nil"/>
          <w:insideV w:val="nil"/>
        </w:tcBorders>
      </w:tcPr>
    </w:tblStylePr>
  </w:style>
  <w:style w:type="table" w:styleId="90">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cPr>
        <w:shd w:val="clear" w:color="auto" w:fill="E6EED5" w:themeFill="accent3" w:themeFillTint="3F"/>
      </w:tcPr>
    </w:tblStylePr>
    <w:tblStylePr w:type="band1Horz">
      <w:tcPr>
        <w:tcBorders>
          <w:insideH w:val="nil"/>
          <w:insideV w:val="nil"/>
        </w:tcBorders>
        <w:shd w:val="clear" w:color="auto" w:fill="E6EED5" w:themeFill="accent3" w:themeFillTint="3F"/>
      </w:tcPr>
    </w:tblStylePr>
    <w:tblStylePr w:type="band2Horz">
      <w:tcPr>
        <w:tcBorders>
          <w:insideH w:val="nil"/>
          <w:insideV w:val="nil"/>
        </w:tcBorders>
      </w:tcPr>
    </w:tblStylePr>
  </w:style>
  <w:style w:type="table" w:styleId="91">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cPr>
        <w:shd w:val="clear" w:color="auto" w:fill="DFD8E8" w:themeFill="accent4" w:themeFillTint="3F"/>
      </w:tcPr>
    </w:tblStylePr>
    <w:tblStylePr w:type="band1Horz">
      <w:tcPr>
        <w:tcBorders>
          <w:insideH w:val="nil"/>
          <w:insideV w:val="nil"/>
        </w:tcBorders>
        <w:shd w:val="clear" w:color="auto" w:fill="DFD8E8" w:themeFill="accent4" w:themeFillTint="3F"/>
      </w:tcPr>
    </w:tblStylePr>
    <w:tblStylePr w:type="band2Horz">
      <w:tcPr>
        <w:tcBorders>
          <w:insideH w:val="nil"/>
          <w:insideV w:val="nil"/>
        </w:tcBorders>
      </w:tcPr>
    </w:tblStylePr>
  </w:style>
  <w:style w:type="table" w:styleId="92">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cPr>
        <w:shd w:val="clear" w:color="auto" w:fill="D2EAF0" w:themeFill="accent5" w:themeFillTint="3F"/>
      </w:tcPr>
    </w:tblStylePr>
    <w:tblStylePr w:type="band1Horz">
      <w:tcPr>
        <w:tcBorders>
          <w:insideH w:val="nil"/>
          <w:insideV w:val="nil"/>
        </w:tcBorders>
        <w:shd w:val="clear" w:color="auto" w:fill="D2EAF0" w:themeFill="accent5" w:themeFillTint="3F"/>
      </w:tcPr>
    </w:tblStylePr>
    <w:tblStylePr w:type="band2Horz">
      <w:tcPr>
        <w:tcBorders>
          <w:insideH w:val="nil"/>
          <w:insideV w:val="nil"/>
        </w:tcBorders>
      </w:tcPr>
    </w:tblStylePr>
  </w:style>
  <w:style w:type="table" w:styleId="93">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cPr>
        <w:shd w:val="clear" w:color="auto" w:fill="FDE5D1" w:themeFill="accent6" w:themeFillTint="3F"/>
      </w:tcPr>
    </w:tblStylePr>
    <w:tblStylePr w:type="band1Horz">
      <w:tcPr>
        <w:tcBorders>
          <w:insideH w:val="nil"/>
          <w:insideV w:val="nil"/>
        </w:tcBorders>
        <w:shd w:val="clear" w:color="auto" w:fill="FDE5D1" w:themeFill="accent6" w:themeFillTint="3F"/>
      </w:tcPr>
    </w:tblStylePr>
    <w:tblStylePr w:type="band2Horz">
      <w:tcPr>
        <w:tcBorders>
          <w:insideH w:val="nil"/>
          <w:insideV w:val="nil"/>
        </w:tcBorders>
      </w:tcPr>
    </w:tblStylePr>
  </w:style>
  <w:style w:type="table" w:styleId="94">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5">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F81BD"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6">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C0504D" w:themeFill="accent2"/>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7">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9BBB59" w:themeFill="accent3"/>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8">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8064A2" w:themeFill="accent4"/>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9">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BACC6" w:themeFill="accent5"/>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0">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F79646" w:themeFill="accent6"/>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1">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1F497D"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styleId="102">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F81BD" w:themeColor="accent1" w:sz="8" w:space="0"/>
        </w:tcBorders>
      </w:tcPr>
    </w:tblStylePr>
    <w:tblStylePr w:type="lastRow">
      <w:rPr>
        <w:b/>
        <w:bCs/>
        <w:color w:val="1F497D" w:themeColor="text2"/>
        <w14:textFill>
          <w14:solidFill>
            <w14:schemeClr w14:val="tx2"/>
          </w14:solidFill>
        </w14:textFill>
      </w:rPr>
      <w:tcPr>
        <w:tcBorders>
          <w:top w:val="single" w:color="4F81BD" w:themeColor="accent1" w:sz="8" w:space="0"/>
          <w:bottom w:val="single" w:color="4F81BD" w:themeColor="accent1" w:sz="8" w:space="0"/>
        </w:tcBorders>
      </w:tcPr>
    </w:tblStylePr>
    <w:tblStylePr w:type="firstCol">
      <w:rPr>
        <w:b/>
        <w:bCs/>
      </w:rPr>
    </w:tblStylePr>
    <w:tblStylePr w:type="lastCol">
      <w:rPr>
        <w:b/>
        <w:bCs/>
      </w:rPr>
      <w:tcPr>
        <w:tcBorders>
          <w:top w:val="single" w:color="4F81BD" w:themeColor="accent1" w:sz="8" w:space="0"/>
          <w:bottom w:val="single" w:color="4F81BD" w:themeColor="accent1" w:sz="8" w:space="0"/>
        </w:tcBorders>
      </w:tcPr>
    </w:tblStylePr>
    <w:tblStylePr w:type="band1Vert">
      <w:tcPr>
        <w:shd w:val="clear" w:color="auto" w:fill="D3DFEE" w:themeFill="accent1" w:themeFillTint="3F"/>
      </w:tcPr>
    </w:tblStylePr>
    <w:tblStylePr w:type="band1Horz">
      <w:tcPr>
        <w:shd w:val="clear" w:color="auto" w:fill="D3DFEE" w:themeFill="accent1" w:themeFillTint="3F"/>
      </w:tcPr>
    </w:tblStylePr>
  </w:style>
  <w:style w:type="table" w:styleId="103">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C0504D" w:themeColor="accent2" w:sz="8" w:space="0"/>
        </w:tcBorders>
      </w:tcPr>
    </w:tblStylePr>
    <w:tblStylePr w:type="lastRow">
      <w:rPr>
        <w:b/>
        <w:bCs/>
        <w:color w:val="1F497D" w:themeColor="text2"/>
        <w14:textFill>
          <w14:solidFill>
            <w14:schemeClr w14:val="tx2"/>
          </w14:solidFill>
        </w14:textFill>
      </w:rPr>
      <w:tcPr>
        <w:tcBorders>
          <w:top w:val="single" w:color="C0504D" w:themeColor="accent2" w:sz="8" w:space="0"/>
          <w:bottom w:val="single" w:color="C0504D" w:themeColor="accent2" w:sz="8" w:space="0"/>
        </w:tcBorders>
      </w:tcPr>
    </w:tblStylePr>
    <w:tblStylePr w:type="firstCol">
      <w:rPr>
        <w:b/>
        <w:bCs/>
      </w:rPr>
    </w:tblStylePr>
    <w:tblStylePr w:type="lastCol">
      <w:rPr>
        <w:b/>
        <w:bCs/>
      </w:rPr>
      <w:tcPr>
        <w:tcBorders>
          <w:top w:val="single" w:color="C0504D" w:themeColor="accent2" w:sz="8" w:space="0"/>
          <w:bottom w:val="single" w:color="C0504D" w:themeColor="accent2" w:sz="8" w:space="0"/>
        </w:tcBorders>
      </w:tcPr>
    </w:tblStylePr>
    <w:tblStylePr w:type="band1Vert">
      <w:tcPr>
        <w:shd w:val="clear" w:color="auto" w:fill="EFD3D3" w:themeFill="accent2" w:themeFillTint="3F"/>
      </w:tcPr>
    </w:tblStylePr>
    <w:tblStylePr w:type="band1Horz">
      <w:tcPr>
        <w:shd w:val="clear" w:color="auto" w:fill="EFD3D3" w:themeFill="accent2" w:themeFillTint="3F"/>
      </w:tcPr>
    </w:tblStylePr>
  </w:style>
  <w:style w:type="table" w:styleId="104">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9BBB59" w:themeColor="accent3" w:sz="8" w:space="0"/>
        </w:tcBorders>
      </w:tcPr>
    </w:tblStylePr>
    <w:tblStylePr w:type="lastRow">
      <w:rPr>
        <w:b/>
        <w:bCs/>
        <w:color w:val="1F497D" w:themeColor="text2"/>
        <w14:textFill>
          <w14:solidFill>
            <w14:schemeClr w14:val="tx2"/>
          </w14:solidFill>
        </w14:textFill>
      </w:rPr>
      <w:tcPr>
        <w:tcBorders>
          <w:top w:val="single" w:color="9BBB59" w:themeColor="accent3" w:sz="8" w:space="0"/>
          <w:bottom w:val="single" w:color="9BBB59" w:themeColor="accent3" w:sz="8" w:space="0"/>
        </w:tcBorders>
      </w:tcPr>
    </w:tblStylePr>
    <w:tblStylePr w:type="firstCol">
      <w:rPr>
        <w:b/>
        <w:bCs/>
      </w:rPr>
    </w:tblStylePr>
    <w:tblStylePr w:type="lastCol">
      <w:rPr>
        <w:b/>
        <w:bCs/>
      </w:rPr>
      <w:tcPr>
        <w:tcBorders>
          <w:top w:val="single" w:color="9BBB59" w:themeColor="accent3" w:sz="8" w:space="0"/>
          <w:bottom w:val="single" w:color="9BBB59" w:themeColor="accent3" w:sz="8" w:space="0"/>
        </w:tcBorders>
      </w:tcPr>
    </w:tblStylePr>
    <w:tblStylePr w:type="band1Vert">
      <w:tcPr>
        <w:shd w:val="clear" w:color="auto" w:fill="E6EED5" w:themeFill="accent3" w:themeFillTint="3F"/>
      </w:tcPr>
    </w:tblStylePr>
    <w:tblStylePr w:type="band1Horz">
      <w:tcPr>
        <w:shd w:val="clear" w:color="auto" w:fill="E6EED5" w:themeFill="accent3" w:themeFillTint="3F"/>
      </w:tcPr>
    </w:tblStylePr>
  </w:style>
  <w:style w:type="table" w:styleId="105">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8064A2" w:themeColor="accent4" w:sz="8" w:space="0"/>
        </w:tcBorders>
      </w:tcPr>
    </w:tblStylePr>
    <w:tblStylePr w:type="lastRow">
      <w:rPr>
        <w:b/>
        <w:bCs/>
        <w:color w:val="1F497D" w:themeColor="text2"/>
        <w14:textFill>
          <w14:solidFill>
            <w14:schemeClr w14:val="tx2"/>
          </w14:solidFill>
        </w14:textFill>
      </w:rPr>
      <w:tcPr>
        <w:tcBorders>
          <w:top w:val="single" w:color="8064A2" w:themeColor="accent4" w:sz="8" w:space="0"/>
          <w:bottom w:val="single" w:color="8064A2" w:themeColor="accent4" w:sz="8" w:space="0"/>
        </w:tcBorders>
      </w:tcPr>
    </w:tblStylePr>
    <w:tblStylePr w:type="firstCol">
      <w:rPr>
        <w:b/>
        <w:bCs/>
      </w:rPr>
    </w:tblStylePr>
    <w:tblStylePr w:type="lastCol">
      <w:rPr>
        <w:b/>
        <w:bCs/>
      </w:rPr>
      <w:tcPr>
        <w:tcBorders>
          <w:top w:val="single" w:color="8064A2" w:themeColor="accent4" w:sz="8" w:space="0"/>
          <w:bottom w:val="single" w:color="8064A2" w:themeColor="accent4" w:sz="8" w:space="0"/>
        </w:tcBorders>
      </w:tcPr>
    </w:tblStylePr>
    <w:tblStylePr w:type="band1Vert">
      <w:tcPr>
        <w:shd w:val="clear" w:color="auto" w:fill="DFD8E8" w:themeFill="accent4" w:themeFillTint="3F"/>
      </w:tcPr>
    </w:tblStylePr>
    <w:tblStylePr w:type="band1Horz">
      <w:tcPr>
        <w:shd w:val="clear" w:color="auto" w:fill="DFD8E8" w:themeFill="accent4" w:themeFillTint="3F"/>
      </w:tcPr>
    </w:tblStylePr>
  </w:style>
  <w:style w:type="table" w:styleId="106">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BACC6" w:themeColor="accent5" w:sz="8" w:space="0"/>
        </w:tcBorders>
      </w:tcPr>
    </w:tblStylePr>
    <w:tblStylePr w:type="lastRow">
      <w:rPr>
        <w:b/>
        <w:bCs/>
        <w:color w:val="1F497D" w:themeColor="text2"/>
        <w14:textFill>
          <w14:solidFill>
            <w14:schemeClr w14:val="tx2"/>
          </w14:solidFill>
        </w14:textFill>
      </w:rPr>
      <w:tcPr>
        <w:tcBorders>
          <w:top w:val="single" w:color="4BACC6" w:themeColor="accent5" w:sz="8" w:space="0"/>
          <w:bottom w:val="single" w:color="4BACC6" w:themeColor="accent5" w:sz="8" w:space="0"/>
        </w:tcBorders>
      </w:tcPr>
    </w:tblStylePr>
    <w:tblStylePr w:type="firstCol">
      <w:rPr>
        <w:b/>
        <w:bCs/>
      </w:rPr>
    </w:tblStylePr>
    <w:tblStylePr w:type="lastCol">
      <w:rPr>
        <w:b/>
        <w:bCs/>
      </w:rPr>
      <w:tcPr>
        <w:tcBorders>
          <w:top w:val="single" w:color="4BACC6" w:themeColor="accent5" w:sz="8" w:space="0"/>
          <w:bottom w:val="single" w:color="4BACC6" w:themeColor="accent5" w:sz="8" w:space="0"/>
        </w:tcBorders>
      </w:tcPr>
    </w:tblStylePr>
    <w:tblStylePr w:type="band1Vert">
      <w:tcPr>
        <w:shd w:val="clear" w:color="auto" w:fill="D2EAF0" w:themeFill="accent5" w:themeFillTint="3F"/>
      </w:tcPr>
    </w:tblStylePr>
    <w:tblStylePr w:type="band1Horz">
      <w:tcPr>
        <w:shd w:val="clear" w:color="auto" w:fill="D2EAF0" w:themeFill="accent5" w:themeFillTint="3F"/>
      </w:tcPr>
    </w:tblStylePr>
  </w:style>
  <w:style w:type="table" w:styleId="107">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F79646" w:themeColor="accent6" w:sz="8" w:space="0"/>
        </w:tcBorders>
      </w:tcPr>
    </w:tblStylePr>
    <w:tblStylePr w:type="lastRow">
      <w:rPr>
        <w:b/>
        <w:bCs/>
        <w:color w:val="1F497D" w:themeColor="text2"/>
        <w14:textFill>
          <w14:solidFill>
            <w14:schemeClr w14:val="tx2"/>
          </w14:solidFill>
        </w14:textFill>
      </w:rPr>
      <w:tcPr>
        <w:tcBorders>
          <w:top w:val="single" w:color="F79646" w:themeColor="accent6" w:sz="8" w:space="0"/>
          <w:bottom w:val="single" w:color="F79646" w:themeColor="accent6" w:sz="8" w:space="0"/>
        </w:tcBorders>
      </w:tcPr>
    </w:tblStylePr>
    <w:tblStylePr w:type="firstCol">
      <w:rPr>
        <w:b/>
        <w:bCs/>
      </w:rPr>
    </w:tblStylePr>
    <w:tblStylePr w:type="lastCol">
      <w:rPr>
        <w:b/>
        <w:bCs/>
      </w:rPr>
      <w:tcPr>
        <w:tcBorders>
          <w:top w:val="single" w:color="F79646" w:themeColor="accent6" w:sz="8" w:space="0"/>
          <w:bottom w:val="single" w:color="F79646" w:themeColor="accent6" w:sz="8" w:space="0"/>
        </w:tcBorders>
      </w:tcPr>
    </w:tblStylePr>
    <w:tblStylePr w:type="band1Vert">
      <w:tcPr>
        <w:shd w:val="clear" w:color="auto" w:fill="FDE5D1" w:themeFill="accent6" w:themeFillTint="3F"/>
      </w:tcPr>
    </w:tblStylePr>
    <w:tblStylePr w:type="band1Horz">
      <w:tcPr>
        <w:shd w:val="clear" w:color="auto" w:fill="FDE5D1" w:themeFill="accent6" w:themeFillTint="3F"/>
      </w:tcPr>
    </w:tblStylePr>
  </w:style>
  <w:style w:type="table" w:styleId="108">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styleId="109">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cPr>
        <w:tcBorders>
          <w:top w:val="nil"/>
          <w:left w:val="nil"/>
          <w:bottom w:val="single" w:color="4F81BD" w:themeColor="accent1" w:sz="24" w:space="0"/>
          <w:right w:val="nil"/>
          <w:insideH w:val="nil"/>
          <w:insideV w:val="nil"/>
        </w:tcBorders>
        <w:shd w:val="clear" w:color="auto" w:fill="FFFFFF" w:themeFill="background1"/>
      </w:tcPr>
    </w:tblStylePr>
    <w:tblStylePr w:type="lastRow">
      <w:tcPr>
        <w:tcBorders>
          <w:top w:val="single" w:color="4F81BD" w:themeColor="accen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F81BD" w:themeColor="accent1" w:sz="8" w:space="0"/>
          <w:insideH w:val="nil"/>
          <w:insideV w:val="nil"/>
        </w:tcBorders>
        <w:shd w:val="clear" w:color="auto" w:fill="FFFFFF" w:themeFill="background1"/>
      </w:tcPr>
    </w:tblStylePr>
    <w:tblStylePr w:type="lastCol">
      <w:tcPr>
        <w:tcBorders>
          <w:top w:val="nil"/>
          <w:left w:val="single" w:color="4F81BD" w:themeColor="accen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3DFEE" w:themeFill="accent1" w:themeFillTint="3F"/>
      </w:tcPr>
    </w:tblStylePr>
    <w:tblStylePr w:type="band1Horz">
      <w:tcPr>
        <w:tcBorders>
          <w:top w:val="nil"/>
          <w:bottom w:val="nil"/>
          <w:insideH w:val="nil"/>
          <w:insideV w:val="nil"/>
        </w:tcBorders>
        <w:shd w:val="clear" w:color="auto" w:fill="D3DFEE" w:themeFill="accent1" w:themeFillTint="3F"/>
      </w:tcPr>
    </w:tblStylePr>
    <w:tblStylePr w:type="nwCell">
      <w:tcPr>
        <w:shd w:val="clear" w:color="auto" w:fill="FFFFFF" w:themeFill="background1"/>
      </w:tcPr>
    </w:tblStylePr>
    <w:tblStylePr w:type="swCell">
      <w:tcPr>
        <w:tcBorders>
          <w:top w:val="nil"/>
        </w:tcBorders>
      </w:tcPr>
    </w:tblStylePr>
  </w:style>
  <w:style w:type="table" w:styleId="110">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cPr>
        <w:tcBorders>
          <w:top w:val="nil"/>
          <w:left w:val="nil"/>
          <w:bottom w:val="single" w:color="C0504D" w:themeColor="accent2" w:sz="24" w:space="0"/>
          <w:right w:val="nil"/>
          <w:insideH w:val="nil"/>
          <w:insideV w:val="nil"/>
        </w:tcBorders>
        <w:shd w:val="clear" w:color="auto" w:fill="FFFFFF" w:themeFill="background1"/>
      </w:tcPr>
    </w:tblStylePr>
    <w:tblStylePr w:type="lastRow">
      <w:tcPr>
        <w:tcBorders>
          <w:top w:val="single" w:color="C0504D" w:themeColor="accent2"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C0504D" w:themeColor="accent2" w:sz="8" w:space="0"/>
          <w:insideH w:val="nil"/>
          <w:insideV w:val="nil"/>
        </w:tcBorders>
        <w:shd w:val="clear" w:color="auto" w:fill="FFFFFF" w:themeFill="background1"/>
      </w:tcPr>
    </w:tblStylePr>
    <w:tblStylePr w:type="lastCol">
      <w:tcPr>
        <w:tcBorders>
          <w:top w:val="nil"/>
          <w:left w:val="single" w:color="C0504D" w:themeColor="accent2"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FD3D3" w:themeFill="accent2" w:themeFillTint="3F"/>
      </w:tcPr>
    </w:tblStylePr>
    <w:tblStylePr w:type="band1Horz">
      <w:tcPr>
        <w:tcBorders>
          <w:top w:val="nil"/>
          <w:bottom w:val="nil"/>
          <w:insideH w:val="nil"/>
          <w:insideV w:val="nil"/>
        </w:tcBorders>
        <w:shd w:val="clear" w:color="auto" w:fill="EFD3D3" w:themeFill="accent2" w:themeFillTint="3F"/>
      </w:tcPr>
    </w:tblStylePr>
    <w:tblStylePr w:type="nwCell">
      <w:tcPr>
        <w:shd w:val="clear" w:color="auto" w:fill="FFFFFF" w:themeFill="background1"/>
      </w:tcPr>
    </w:tblStylePr>
    <w:tblStylePr w:type="swCell">
      <w:tcPr>
        <w:tcBorders>
          <w:top w:val="nil"/>
        </w:tcBorders>
      </w:tcPr>
    </w:tblStylePr>
  </w:style>
  <w:style w:type="table" w:styleId="111">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cPr>
        <w:tcBorders>
          <w:top w:val="nil"/>
          <w:left w:val="nil"/>
          <w:bottom w:val="single" w:color="9BBB59" w:themeColor="accent3" w:sz="24" w:space="0"/>
          <w:right w:val="nil"/>
          <w:insideH w:val="nil"/>
          <w:insideV w:val="nil"/>
        </w:tcBorders>
        <w:shd w:val="clear" w:color="auto" w:fill="FFFFFF" w:themeFill="background1"/>
      </w:tcPr>
    </w:tblStylePr>
    <w:tblStylePr w:type="lastRow">
      <w:tcPr>
        <w:tcBorders>
          <w:top w:val="single" w:color="9BBB59" w:themeColor="accent3"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9BBB59" w:themeColor="accent3" w:sz="8" w:space="0"/>
          <w:insideH w:val="nil"/>
          <w:insideV w:val="nil"/>
        </w:tcBorders>
        <w:shd w:val="clear" w:color="auto" w:fill="FFFFFF" w:themeFill="background1"/>
      </w:tcPr>
    </w:tblStylePr>
    <w:tblStylePr w:type="lastCol">
      <w:tcPr>
        <w:tcBorders>
          <w:top w:val="nil"/>
          <w:left w:val="single" w:color="9BBB59" w:themeColor="accent3"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6EED5" w:themeFill="accent3" w:themeFillTint="3F"/>
      </w:tcPr>
    </w:tblStylePr>
    <w:tblStylePr w:type="band1Horz">
      <w:tcPr>
        <w:tcBorders>
          <w:top w:val="nil"/>
          <w:bottom w:val="nil"/>
          <w:insideH w:val="nil"/>
          <w:insideV w:val="nil"/>
        </w:tcBorders>
        <w:shd w:val="clear" w:color="auto" w:fill="E6EED5" w:themeFill="accent3" w:themeFillTint="3F"/>
      </w:tcPr>
    </w:tblStylePr>
    <w:tblStylePr w:type="nwCell">
      <w:tcPr>
        <w:shd w:val="clear" w:color="auto" w:fill="FFFFFF" w:themeFill="background1"/>
      </w:tcPr>
    </w:tblStylePr>
    <w:tblStylePr w:type="swCell">
      <w:tcPr>
        <w:tcBorders>
          <w:top w:val="nil"/>
        </w:tcBorders>
      </w:tcPr>
    </w:tblStylePr>
  </w:style>
  <w:style w:type="table" w:styleId="112">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cPr>
        <w:tcBorders>
          <w:top w:val="nil"/>
          <w:left w:val="nil"/>
          <w:bottom w:val="single" w:color="8064A2" w:themeColor="accent4" w:sz="24" w:space="0"/>
          <w:right w:val="nil"/>
          <w:insideH w:val="nil"/>
          <w:insideV w:val="nil"/>
        </w:tcBorders>
        <w:shd w:val="clear" w:color="auto" w:fill="FFFFFF" w:themeFill="background1"/>
      </w:tcPr>
    </w:tblStylePr>
    <w:tblStylePr w:type="lastRow">
      <w:tcPr>
        <w:tcBorders>
          <w:top w:val="single" w:color="8064A2" w:themeColor="accent4"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8064A2" w:themeColor="accent4" w:sz="8" w:space="0"/>
          <w:insideH w:val="nil"/>
          <w:insideV w:val="nil"/>
        </w:tcBorders>
        <w:shd w:val="clear" w:color="auto" w:fill="FFFFFF" w:themeFill="background1"/>
      </w:tcPr>
    </w:tblStylePr>
    <w:tblStylePr w:type="lastCol">
      <w:tcPr>
        <w:tcBorders>
          <w:top w:val="nil"/>
          <w:left w:val="single" w:color="8064A2" w:themeColor="accent4"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FD8E8" w:themeFill="accent4" w:themeFillTint="3F"/>
      </w:tcPr>
    </w:tblStylePr>
    <w:tblStylePr w:type="band1Horz">
      <w:tcPr>
        <w:tcBorders>
          <w:top w:val="nil"/>
          <w:bottom w:val="nil"/>
          <w:insideH w:val="nil"/>
          <w:insideV w:val="nil"/>
        </w:tcBorders>
        <w:shd w:val="clear" w:color="auto" w:fill="DFD8E8" w:themeFill="accent4" w:themeFillTint="3F"/>
      </w:tcPr>
    </w:tblStylePr>
    <w:tblStylePr w:type="nwCell">
      <w:tcPr>
        <w:shd w:val="clear" w:color="auto" w:fill="FFFFFF" w:themeFill="background1"/>
      </w:tcPr>
    </w:tblStylePr>
    <w:tblStylePr w:type="swCell">
      <w:tcPr>
        <w:tcBorders>
          <w:top w:val="nil"/>
        </w:tcBorders>
      </w:tcPr>
    </w:tblStylePr>
  </w:style>
  <w:style w:type="table" w:styleId="113">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cPr>
        <w:tcBorders>
          <w:top w:val="nil"/>
          <w:left w:val="nil"/>
          <w:bottom w:val="single" w:color="4BACC6" w:themeColor="accent5" w:sz="24" w:space="0"/>
          <w:right w:val="nil"/>
          <w:insideH w:val="nil"/>
          <w:insideV w:val="nil"/>
        </w:tcBorders>
        <w:shd w:val="clear" w:color="auto" w:fill="FFFFFF" w:themeFill="background1"/>
      </w:tcPr>
    </w:tblStylePr>
    <w:tblStylePr w:type="lastRow">
      <w:tcPr>
        <w:tcBorders>
          <w:top w:val="single" w:color="4BACC6" w:themeColor="accent5"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BACC6" w:themeColor="accent5" w:sz="8" w:space="0"/>
          <w:insideH w:val="nil"/>
          <w:insideV w:val="nil"/>
        </w:tcBorders>
        <w:shd w:val="clear" w:color="auto" w:fill="FFFFFF" w:themeFill="background1"/>
      </w:tcPr>
    </w:tblStylePr>
    <w:tblStylePr w:type="lastCol">
      <w:tcPr>
        <w:tcBorders>
          <w:top w:val="nil"/>
          <w:left w:val="single" w:color="4BACC6" w:themeColor="accent5"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2EAF0" w:themeFill="accent5" w:themeFillTint="3F"/>
      </w:tcPr>
    </w:tblStylePr>
    <w:tblStylePr w:type="band1Horz">
      <w:tcPr>
        <w:tcBorders>
          <w:top w:val="nil"/>
          <w:bottom w:val="nil"/>
          <w:insideH w:val="nil"/>
          <w:insideV w:val="nil"/>
        </w:tcBorders>
        <w:shd w:val="clear" w:color="auto" w:fill="D2EAF0" w:themeFill="accent5" w:themeFillTint="3F"/>
      </w:tcPr>
    </w:tblStylePr>
    <w:tblStylePr w:type="nwCell">
      <w:tcPr>
        <w:shd w:val="clear" w:color="auto" w:fill="FFFFFF" w:themeFill="background1"/>
      </w:tcPr>
    </w:tblStylePr>
    <w:tblStylePr w:type="swCell">
      <w:tcPr>
        <w:tcBorders>
          <w:top w:val="nil"/>
        </w:tcBorders>
      </w:tcPr>
    </w:tblStylePr>
  </w:style>
  <w:style w:type="table" w:styleId="114">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cPr>
        <w:tcBorders>
          <w:top w:val="nil"/>
          <w:left w:val="nil"/>
          <w:bottom w:val="single" w:color="F79646" w:themeColor="accent6" w:sz="24" w:space="0"/>
          <w:right w:val="nil"/>
          <w:insideH w:val="nil"/>
          <w:insideV w:val="nil"/>
        </w:tcBorders>
        <w:shd w:val="clear" w:color="auto" w:fill="FFFFFF" w:themeFill="background1"/>
      </w:tcPr>
    </w:tblStylePr>
    <w:tblStylePr w:type="lastRow">
      <w:tcPr>
        <w:tcBorders>
          <w:top w:val="single" w:color="F79646" w:themeColor="accent6"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F79646" w:themeColor="accent6" w:sz="8" w:space="0"/>
          <w:insideH w:val="nil"/>
          <w:insideV w:val="nil"/>
        </w:tcBorders>
        <w:shd w:val="clear" w:color="auto" w:fill="FFFFFF" w:themeFill="background1"/>
      </w:tcPr>
    </w:tblStylePr>
    <w:tblStylePr w:type="lastCol">
      <w:tcPr>
        <w:tcBorders>
          <w:top w:val="nil"/>
          <w:left w:val="single" w:color="F79646" w:themeColor="accent6"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FDE5D1" w:themeFill="accent6" w:themeFillTint="3F"/>
      </w:tcPr>
    </w:tblStylePr>
    <w:tblStylePr w:type="band1Horz">
      <w:tcPr>
        <w:tcBorders>
          <w:top w:val="nil"/>
          <w:bottom w:val="nil"/>
          <w:insideH w:val="nil"/>
          <w:insideV w:val="nil"/>
        </w:tcBorders>
        <w:shd w:val="clear" w:color="auto" w:fill="FDE5D1" w:themeFill="accent6" w:themeFillTint="3F"/>
      </w:tcPr>
    </w:tblStylePr>
    <w:tblStylePr w:type="nwCell">
      <w:tcPr>
        <w:shd w:val="clear" w:color="auto" w:fill="FFFFFF" w:themeFill="background1"/>
      </w:tcPr>
    </w:tblStylePr>
    <w:tblStylePr w:type="swCell">
      <w:tcPr>
        <w:tcBorders>
          <w:top w:val="nil"/>
        </w:tcBorders>
      </w:tcPr>
    </w:tblStylePr>
  </w:style>
  <w:style w:type="table" w:styleId="115">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16">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cPr>
        <w:tcBorders>
          <w:top w:val="single" w:color="7BA0CD" w:themeColor="accent1" w:themeTint="BF" w:sz="18" w:space="0"/>
        </w:tcBorders>
      </w:tcPr>
    </w:tblStylePr>
    <w:tblStylePr w:type="firstCol">
      <w:rPr>
        <w:b/>
        <w:bCs/>
      </w:rPr>
    </w:tblStylePr>
    <w:tblStylePr w:type="lastCol">
      <w:rPr>
        <w:b/>
        <w:bCs/>
      </w:r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17">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cPr>
        <w:tcBorders>
          <w:top w:val="single" w:color="CF7B79" w:themeColor="accent2" w:themeTint="BF" w:sz="18" w:space="0"/>
        </w:tcBorders>
      </w:tcPr>
    </w:tblStylePr>
    <w:tblStylePr w:type="firstCol">
      <w:rPr>
        <w:b/>
        <w:bCs/>
      </w:rPr>
    </w:tblStylePr>
    <w:tblStylePr w:type="lastCol">
      <w:rPr>
        <w:b/>
        <w:bCs/>
      </w:r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18">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cPr>
        <w:tcBorders>
          <w:top w:val="single" w:color="B4CC82" w:themeColor="accent3" w:themeTint="BF" w:sz="18" w:space="0"/>
        </w:tcBorders>
      </w:tcPr>
    </w:tblStylePr>
    <w:tblStylePr w:type="firstCol">
      <w:rPr>
        <w:b/>
        <w:bCs/>
      </w:rPr>
    </w:tblStylePr>
    <w:tblStylePr w:type="lastCol">
      <w:rPr>
        <w:b/>
        <w:bCs/>
      </w:r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19">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cPr>
        <w:tcBorders>
          <w:top w:val="single" w:color="9F8AB9" w:themeColor="accent4" w:themeTint="BF" w:sz="18" w:space="0"/>
        </w:tcBorders>
      </w:tcPr>
    </w:tblStylePr>
    <w:tblStylePr w:type="firstCol">
      <w:rPr>
        <w:b/>
        <w:bCs/>
      </w:rPr>
    </w:tblStylePr>
    <w:tblStylePr w:type="lastCol">
      <w:rPr>
        <w:b/>
        <w:bCs/>
      </w:r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20">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cPr>
        <w:tcBorders>
          <w:top w:val="single" w:color="78C0D4" w:themeColor="accent5" w:themeTint="BF" w:sz="18" w:space="0"/>
        </w:tcBorders>
      </w:tcPr>
    </w:tblStylePr>
    <w:tblStylePr w:type="firstCol">
      <w:rPr>
        <w:b/>
        <w:bCs/>
      </w:rPr>
    </w:tblStylePr>
    <w:tblStylePr w:type="lastCol">
      <w:rPr>
        <w:b/>
        <w:bCs/>
      </w:r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21">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cPr>
        <w:tcBorders>
          <w:top w:val="single" w:color="F9B074" w:themeColor="accent6" w:themeTint="BF" w:sz="18" w:space="0"/>
        </w:tcBorders>
      </w:tcPr>
    </w:tblStylePr>
    <w:tblStylePr w:type="firstCol">
      <w:rPr>
        <w:b/>
        <w:bCs/>
      </w:rPr>
    </w:tblStylePr>
    <w:tblStylePr w:type="lastCol">
      <w:rPr>
        <w:b/>
        <w:bCs/>
      </w:r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table" w:styleId="122">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styleId="123">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cPr>
        <w:shd w:val="clear" w:color="auto" w:fill="EDF2F8" w:themeFill="accen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BE5F1" w:themeFill="accent1" w:themeFillTint="33"/>
      </w:tcPr>
    </w:tblStylePr>
    <w:tblStylePr w:type="band1Vert">
      <w:tcPr>
        <w:shd w:val="clear" w:color="auto" w:fill="A7C0DE" w:themeFill="accent1" w:themeFillTint="7F"/>
      </w:tcPr>
    </w:tblStylePr>
    <w:tblStylePr w:type="band1Horz">
      <w:tcPr>
        <w:tcBorders>
          <w:insideH w:val="single" w:sz="6" w:space="0"/>
          <w:insideV w:val="single" w:sz="6" w:space="0"/>
        </w:tcBorders>
        <w:shd w:val="clear" w:color="auto" w:fill="A7C0DE" w:themeFill="accent1" w:themeFillTint="7F"/>
      </w:tcPr>
    </w:tblStylePr>
    <w:tblStylePr w:type="nwCell">
      <w:tcPr>
        <w:shd w:val="clear" w:color="auto" w:fill="FFFFFF" w:themeFill="background1"/>
      </w:tcPr>
    </w:tblStylePr>
  </w:style>
  <w:style w:type="table" w:styleId="124">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cPr>
        <w:shd w:val="clear" w:color="auto" w:fill="F8EDED" w:themeFill="accent2"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2DBDB" w:themeFill="accent2" w:themeFillTint="33"/>
      </w:tcPr>
    </w:tblStylePr>
    <w:tblStylePr w:type="band1Vert">
      <w:tcPr>
        <w:shd w:val="clear" w:color="auto" w:fill="DFA7A6" w:themeFill="accent2" w:themeFillTint="7F"/>
      </w:tcPr>
    </w:tblStylePr>
    <w:tblStylePr w:type="band1Horz">
      <w:tcPr>
        <w:tcBorders>
          <w:insideH w:val="single" w:sz="6" w:space="0"/>
          <w:insideV w:val="single" w:sz="6" w:space="0"/>
        </w:tcBorders>
        <w:shd w:val="clear" w:color="auto" w:fill="DFA7A6" w:themeFill="accent2" w:themeFillTint="7F"/>
      </w:tcPr>
    </w:tblStylePr>
    <w:tblStylePr w:type="nwCell">
      <w:tcPr>
        <w:shd w:val="clear" w:color="auto" w:fill="FFFFFF" w:themeFill="background1"/>
      </w:tcPr>
    </w:tblStylePr>
  </w:style>
  <w:style w:type="table" w:styleId="125">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cPr>
        <w:shd w:val="clear" w:color="auto" w:fill="F5F8EE" w:themeFill="accent3"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AF1DD" w:themeFill="accent3" w:themeFillTint="33"/>
      </w:tcPr>
    </w:tblStylePr>
    <w:tblStylePr w:type="band1Vert">
      <w:tcPr>
        <w:shd w:val="clear" w:color="auto" w:fill="CDDDAC" w:themeFill="accent3" w:themeFillTint="7F"/>
      </w:tcPr>
    </w:tblStylePr>
    <w:tblStylePr w:type="band1Horz">
      <w:tcPr>
        <w:tcBorders>
          <w:insideH w:val="single" w:sz="6" w:space="0"/>
          <w:insideV w:val="single" w:sz="6" w:space="0"/>
        </w:tcBorders>
        <w:shd w:val="clear" w:color="auto" w:fill="CDDDAC" w:themeFill="accent3" w:themeFillTint="7F"/>
      </w:tcPr>
    </w:tblStylePr>
    <w:tblStylePr w:type="nwCell">
      <w:tcPr>
        <w:shd w:val="clear" w:color="auto" w:fill="FFFFFF" w:themeFill="background1"/>
      </w:tcPr>
    </w:tblStylePr>
  </w:style>
  <w:style w:type="table" w:styleId="126">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cPr>
        <w:shd w:val="clear" w:color="auto" w:fill="F2EFF5" w:themeFill="accent4"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5DFEC" w:themeFill="accent4" w:themeFillTint="33"/>
      </w:tcPr>
    </w:tblStylePr>
    <w:tblStylePr w:type="band1Vert">
      <w:tcPr>
        <w:shd w:val="clear" w:color="auto" w:fill="BFB1D0" w:themeFill="accent4" w:themeFillTint="7F"/>
      </w:tcPr>
    </w:tblStylePr>
    <w:tblStylePr w:type="band1Horz">
      <w:tcPr>
        <w:tcBorders>
          <w:insideH w:val="single" w:sz="6" w:space="0"/>
          <w:insideV w:val="single" w:sz="6" w:space="0"/>
        </w:tcBorders>
        <w:shd w:val="clear" w:color="auto" w:fill="BFB1D0" w:themeFill="accent4" w:themeFillTint="7F"/>
      </w:tcPr>
    </w:tblStylePr>
    <w:tblStylePr w:type="nwCell">
      <w:tcPr>
        <w:shd w:val="clear" w:color="auto" w:fill="FFFFFF" w:themeFill="background1"/>
      </w:tcPr>
    </w:tblStylePr>
  </w:style>
  <w:style w:type="table" w:styleId="127">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cPr>
        <w:shd w:val="clear" w:color="auto" w:fill="EDF6F9" w:themeFill="accent5"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AEEF3" w:themeFill="accent5" w:themeFillTint="33"/>
      </w:tcPr>
    </w:tblStylePr>
    <w:tblStylePr w:type="band1Vert">
      <w:tcPr>
        <w:shd w:val="clear" w:color="auto" w:fill="A5D5E2" w:themeFill="accent5" w:themeFillTint="7F"/>
      </w:tcPr>
    </w:tblStylePr>
    <w:tblStylePr w:type="band1Horz">
      <w:tcPr>
        <w:tcBorders>
          <w:insideH w:val="single" w:sz="6" w:space="0"/>
          <w:insideV w:val="single" w:sz="6" w:space="0"/>
        </w:tcBorders>
        <w:shd w:val="clear" w:color="auto" w:fill="A5D5E2" w:themeFill="accent5" w:themeFillTint="7F"/>
      </w:tcPr>
    </w:tblStylePr>
    <w:tblStylePr w:type="nwCell">
      <w:tcPr>
        <w:shd w:val="clear" w:color="auto" w:fill="FFFFFF" w:themeFill="background1"/>
      </w:tcPr>
    </w:tblStylePr>
  </w:style>
  <w:style w:type="table" w:styleId="128">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cPr>
        <w:shd w:val="clear" w:color="auto" w:fill="FEF4EC" w:themeFill="accent6"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DE9D9" w:themeFill="accent6" w:themeFillTint="33"/>
      </w:tcPr>
    </w:tblStylePr>
    <w:tblStylePr w:type="band1Vert">
      <w:tcPr>
        <w:shd w:val="clear" w:color="auto" w:fill="FBCAA2" w:themeFill="accent6" w:themeFillTint="7F"/>
      </w:tcPr>
    </w:tblStylePr>
    <w:tblStylePr w:type="band1Horz">
      <w:tcPr>
        <w:tcBorders>
          <w:insideH w:val="single" w:sz="6" w:space="0"/>
          <w:insideV w:val="single" w:sz="6" w:space="0"/>
        </w:tcBorders>
        <w:shd w:val="clear" w:color="auto" w:fill="FBCAA2" w:themeFill="accent6" w:themeFillTint="7F"/>
      </w:tcPr>
    </w:tblStylePr>
    <w:tblStylePr w:type="nwCell">
      <w:tcPr>
        <w:shd w:val="clear" w:color="auto" w:fill="FFFFFF" w:themeFill="background1"/>
      </w:tcPr>
    </w:tblStylePr>
  </w:style>
  <w:style w:type="table" w:styleId="129">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30">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F81BD" w:themeFill="accen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31">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C0504D" w:themeFill="accent2"/>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32">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9BBB59" w:themeFill="accent3"/>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33">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8064A2" w:themeFill="accent4"/>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34">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BACC6" w:themeFill="accent5"/>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35">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F79646" w:themeFill="accent6"/>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36">
    <w:name w:val="Dark List"/>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styleId="137">
    <w:name w:val="Dark List Accent 1"/>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cPr>
        <w:tcBorders>
          <w:top w:val="nil"/>
          <w:left w:val="nil"/>
          <w:bottom w:val="nil"/>
          <w:right w:val="nil"/>
          <w:insideH w:val="nil"/>
          <w:insideV w:val="nil"/>
        </w:tcBorders>
        <w:shd w:val="clear" w:color="auto" w:fill="366091" w:themeFill="accent1" w:themeFillShade="BF"/>
      </w:tcPr>
    </w:tblStylePr>
    <w:tblStylePr w:type="band1Horz">
      <w:tcPr>
        <w:tcBorders>
          <w:top w:val="nil"/>
          <w:left w:val="nil"/>
          <w:bottom w:val="nil"/>
          <w:right w:val="nil"/>
          <w:insideH w:val="nil"/>
          <w:insideV w:val="nil"/>
        </w:tcBorders>
        <w:shd w:val="clear" w:color="auto" w:fill="366091" w:themeFill="accent1" w:themeFillShade="BF"/>
      </w:tcPr>
    </w:tblStylePr>
  </w:style>
  <w:style w:type="table" w:styleId="138">
    <w:name w:val="Dark List Accent 2"/>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cPr>
        <w:tcBorders>
          <w:top w:val="nil"/>
          <w:left w:val="nil"/>
          <w:bottom w:val="nil"/>
          <w:right w:val="nil"/>
          <w:insideH w:val="nil"/>
          <w:insideV w:val="nil"/>
        </w:tcBorders>
        <w:shd w:val="clear" w:color="auto" w:fill="943734" w:themeFill="accent2" w:themeFillShade="BF"/>
      </w:tcPr>
    </w:tblStylePr>
    <w:tblStylePr w:type="band1Horz">
      <w:tcPr>
        <w:tcBorders>
          <w:top w:val="nil"/>
          <w:left w:val="nil"/>
          <w:bottom w:val="nil"/>
          <w:right w:val="nil"/>
          <w:insideH w:val="nil"/>
          <w:insideV w:val="nil"/>
        </w:tcBorders>
        <w:shd w:val="clear" w:color="auto" w:fill="943734" w:themeFill="accent2" w:themeFillShade="BF"/>
      </w:tcPr>
    </w:tblStylePr>
  </w:style>
  <w:style w:type="table" w:styleId="139">
    <w:name w:val="Dark List Accent 3"/>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cPr>
        <w:tcBorders>
          <w:top w:val="nil"/>
          <w:left w:val="nil"/>
          <w:bottom w:val="nil"/>
          <w:right w:val="nil"/>
          <w:insideH w:val="nil"/>
          <w:insideV w:val="nil"/>
        </w:tcBorders>
        <w:shd w:val="clear" w:color="auto" w:fill="76923C" w:themeFill="accent3" w:themeFillShade="BF"/>
      </w:tcPr>
    </w:tblStylePr>
    <w:tblStylePr w:type="band1Horz">
      <w:tcPr>
        <w:tcBorders>
          <w:top w:val="nil"/>
          <w:left w:val="nil"/>
          <w:bottom w:val="nil"/>
          <w:right w:val="nil"/>
          <w:insideH w:val="nil"/>
          <w:insideV w:val="nil"/>
        </w:tcBorders>
        <w:shd w:val="clear" w:color="auto" w:fill="76923C" w:themeFill="accent3" w:themeFillShade="BF"/>
      </w:tcPr>
    </w:tblStylePr>
  </w:style>
  <w:style w:type="table" w:styleId="140">
    <w:name w:val="Dark List Accent 4"/>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cPr>
        <w:tcBorders>
          <w:top w:val="nil"/>
          <w:left w:val="nil"/>
          <w:bottom w:val="nil"/>
          <w:right w:val="nil"/>
          <w:insideH w:val="nil"/>
          <w:insideV w:val="nil"/>
        </w:tcBorders>
        <w:shd w:val="clear" w:color="auto" w:fill="5F497A" w:themeFill="accent4" w:themeFillShade="BF"/>
      </w:tcPr>
    </w:tblStylePr>
    <w:tblStylePr w:type="band1Horz">
      <w:tcPr>
        <w:tcBorders>
          <w:top w:val="nil"/>
          <w:left w:val="nil"/>
          <w:bottom w:val="nil"/>
          <w:right w:val="nil"/>
          <w:insideH w:val="nil"/>
          <w:insideV w:val="nil"/>
        </w:tcBorders>
        <w:shd w:val="clear" w:color="auto" w:fill="5F497A" w:themeFill="accent4" w:themeFillShade="BF"/>
      </w:tcPr>
    </w:tblStylePr>
  </w:style>
  <w:style w:type="table" w:styleId="141">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cPr>
        <w:tcBorders>
          <w:top w:val="nil"/>
          <w:left w:val="nil"/>
          <w:bottom w:val="nil"/>
          <w:right w:val="nil"/>
          <w:insideH w:val="nil"/>
          <w:insideV w:val="nil"/>
        </w:tcBorders>
        <w:shd w:val="clear" w:color="auto" w:fill="31849B" w:themeFill="accent5" w:themeFillShade="BF"/>
      </w:tcPr>
    </w:tblStylePr>
    <w:tblStylePr w:type="band1Horz">
      <w:tcPr>
        <w:tcBorders>
          <w:top w:val="nil"/>
          <w:left w:val="nil"/>
          <w:bottom w:val="nil"/>
          <w:right w:val="nil"/>
          <w:insideH w:val="nil"/>
          <w:insideV w:val="nil"/>
        </w:tcBorders>
        <w:shd w:val="clear" w:color="auto" w:fill="31849B" w:themeFill="accent5" w:themeFillShade="BF"/>
      </w:tcPr>
    </w:tblStylePr>
  </w:style>
  <w:style w:type="table" w:styleId="142">
    <w:name w:val="Dark List Accent 6"/>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cPr>
        <w:tcBorders>
          <w:top w:val="nil"/>
          <w:left w:val="nil"/>
          <w:bottom w:val="nil"/>
          <w:right w:val="nil"/>
          <w:insideH w:val="nil"/>
          <w:insideV w:val="nil"/>
        </w:tcBorders>
        <w:shd w:val="clear" w:color="auto" w:fill="E36C09" w:themeFill="accent6" w:themeFillShade="BF"/>
      </w:tcPr>
    </w:tblStylePr>
    <w:tblStylePr w:type="band1Horz">
      <w:tcPr>
        <w:tcBorders>
          <w:top w:val="nil"/>
          <w:left w:val="nil"/>
          <w:bottom w:val="nil"/>
          <w:right w:val="nil"/>
          <w:insideH w:val="nil"/>
          <w:insideV w:val="nil"/>
        </w:tcBorders>
        <w:shd w:val="clear" w:color="auto" w:fill="E36C09" w:themeFill="accent6" w:themeFillShade="BF"/>
      </w:tcPr>
    </w:tblStylePr>
  </w:style>
  <w:style w:type="table" w:styleId="143">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4">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B4D74" w:themeFill="accent1" w:themeFillShade="99"/>
      </w:tcPr>
    </w:tblStylePr>
    <w:tblStylePr w:type="band1Vert">
      <w:tcPr>
        <w:shd w:val="clear" w:color="auto" w:fill="B8CCE4" w:themeFill="accent1" w:themeFillTint="66"/>
      </w:tcPr>
    </w:tblStylePr>
    <w:tblStylePr w:type="band1Horz">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5">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772C2A" w:themeFill="accent2" w:themeFillShade="99"/>
      </w:tcPr>
    </w:tblStylePr>
    <w:tblStylePr w:type="band1Vert">
      <w:tcPr>
        <w:shd w:val="clear" w:color="auto" w:fill="E5B8B7" w:themeFill="accent2" w:themeFillTint="66"/>
      </w:tcPr>
    </w:tblStylePr>
    <w:tblStylePr w:type="band1Horz">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6">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5E7530" w:themeFill="accent3" w:themeFillShade="99"/>
      </w:tcPr>
    </w:tblStylePr>
    <w:tblStylePr w:type="band1Vert">
      <w:tcPr>
        <w:shd w:val="clear" w:color="auto" w:fill="D6E3BC" w:themeFill="accent3" w:themeFillTint="66"/>
      </w:tcPr>
    </w:tblStylePr>
    <w:tblStylePr w:type="band1Horz">
      <w:tcPr>
        <w:shd w:val="clear" w:color="auto" w:fill="CDDDAC" w:themeFill="accent3" w:themeFillTint="7F"/>
      </w:tcPr>
    </w:tblStylePr>
  </w:style>
  <w:style w:type="table" w:styleId="147">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4C3A62" w:themeFill="accent4" w:themeFillShade="99"/>
      </w:tcPr>
    </w:tblStylePr>
    <w:tblStylePr w:type="band1Vert">
      <w:tcPr>
        <w:shd w:val="clear" w:color="auto" w:fill="CCC0D9" w:themeFill="accent4" w:themeFillTint="66"/>
      </w:tcPr>
    </w:tblStylePr>
    <w:tblStylePr w:type="band1Horz">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8">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76A7C" w:themeFill="accent5" w:themeFillShade="99"/>
      </w:tcPr>
    </w:tblStylePr>
    <w:tblStylePr w:type="band1Vert">
      <w:tcPr>
        <w:shd w:val="clear" w:color="auto" w:fill="B6DDE8" w:themeFill="accent5" w:themeFillTint="66"/>
      </w:tcPr>
    </w:tblStylePr>
    <w:tblStylePr w:type="band1Horz">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9">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B65607" w:themeFill="accent6" w:themeFillShade="99"/>
      </w:tcPr>
    </w:tblStylePr>
    <w:tblStylePr w:type="band1Vert">
      <w:tcPr>
        <w:shd w:val="clear" w:color="auto" w:fill="FBD4B4" w:themeFill="accent6" w:themeFillTint="66"/>
      </w:tcPr>
    </w:tblStylePr>
    <w:tblStylePr w:type="band1Horz">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0">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styleId="151">
    <w:name w:val="Colorful List Accent 1"/>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hemeFill="accent1" w:themeFillTint="3F"/>
      </w:tcPr>
    </w:tblStylePr>
    <w:tblStylePr w:type="band1Horz">
      <w:tcPr>
        <w:shd w:val="clear" w:color="auto" w:fill="DBE5F1" w:themeFill="accent1" w:themeFillTint="33"/>
      </w:tcPr>
    </w:tblStylePr>
  </w:style>
  <w:style w:type="table" w:styleId="152">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FD3D3" w:themeFill="accent2" w:themeFillTint="3F"/>
      </w:tcPr>
    </w:tblStylePr>
    <w:tblStylePr w:type="band1Horz">
      <w:tcPr>
        <w:shd w:val="clear" w:color="auto" w:fill="F2DBDB" w:themeFill="accent2" w:themeFillTint="33"/>
      </w:tcPr>
    </w:tblStylePr>
  </w:style>
  <w:style w:type="table" w:styleId="153">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6EED5" w:themeFill="accent3" w:themeFillTint="3F"/>
      </w:tcPr>
    </w:tblStylePr>
    <w:tblStylePr w:type="band1Horz">
      <w:tcPr>
        <w:shd w:val="clear" w:color="auto" w:fill="EAF1DD" w:themeFill="accent3" w:themeFillTint="33"/>
      </w:tcPr>
    </w:tblStylePr>
  </w:style>
  <w:style w:type="table" w:styleId="154">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FD8E8" w:themeFill="accent4" w:themeFillTint="3F"/>
      </w:tcPr>
    </w:tblStylePr>
    <w:tblStylePr w:type="band1Horz">
      <w:tcPr>
        <w:shd w:val="clear" w:color="auto" w:fill="E5DFEC" w:themeFill="accent4" w:themeFillTint="33"/>
      </w:tcPr>
    </w:tblStylePr>
  </w:style>
  <w:style w:type="table" w:styleId="155">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2EAF0" w:themeFill="accent5" w:themeFillTint="3F"/>
      </w:tcPr>
    </w:tblStylePr>
    <w:tblStylePr w:type="band1Horz">
      <w:tcPr>
        <w:shd w:val="clear" w:color="auto" w:fill="DAEEF3" w:themeFill="accent5" w:themeFillTint="33"/>
      </w:tcPr>
    </w:tblStylePr>
  </w:style>
  <w:style w:type="table" w:styleId="156">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FDE5D1" w:themeFill="accent6" w:themeFillTint="3F"/>
      </w:tcPr>
    </w:tblStylePr>
    <w:tblStylePr w:type="band1Horz">
      <w:tcPr>
        <w:shd w:val="clear" w:color="auto" w:fill="FDE9D9" w:themeFill="accent6" w:themeFillTint="33"/>
      </w:tcPr>
    </w:tblStylePr>
  </w:style>
  <w:style w:type="table" w:styleId="157">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58">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cPr>
        <w:shd w:val="clear" w:color="auto" w:fill="B8CCE4" w:themeFill="accent1" w:themeFillTint="66"/>
      </w:tcPr>
    </w:tblStylePr>
    <w:tblStylePr w:type="lastRow">
      <w:rPr>
        <w:b/>
        <w:bCs/>
        <w:color w:val="000000" w:themeColor="text1"/>
        <w14:textFill>
          <w14:solidFill>
            <w14:schemeClr w14:val="tx1"/>
          </w14:solidFill>
        </w14:textFill>
      </w:rPr>
      <w:tcPr>
        <w:shd w:val="clear" w:color="auto" w:fill="B8CCE4" w:themeFill="accent1" w:themeFillTint="66"/>
      </w:tcPr>
    </w:tblStylePr>
    <w:tblStylePr w:type="firstCol">
      <w:rPr>
        <w:color w:val="FFFFFF" w:themeColor="background1"/>
        <w14:textFill>
          <w14:solidFill>
            <w14:schemeClr w14:val="bg1"/>
          </w14:solidFill>
        </w14:textFill>
      </w:rPr>
      <w:tcPr>
        <w:shd w:val="clear" w:color="auto" w:fill="366091" w:themeFill="accent1" w:themeFillShade="BF"/>
      </w:tcPr>
    </w:tblStylePr>
    <w:tblStylePr w:type="lastCol">
      <w:rPr>
        <w:color w:val="FFFFFF" w:themeColor="background1"/>
        <w14:textFill>
          <w14:solidFill>
            <w14:schemeClr w14:val="bg1"/>
          </w14:solidFill>
        </w14:textFill>
      </w:rPr>
      <w:tcPr>
        <w:shd w:val="clear" w:color="auto" w:fill="366091" w:themeFill="accent1" w:themeFillShade="BF"/>
      </w:tc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59">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cPr>
        <w:shd w:val="clear" w:color="auto" w:fill="E5B8B7" w:themeFill="accent2" w:themeFillTint="66"/>
      </w:tcPr>
    </w:tblStylePr>
    <w:tblStylePr w:type="lastRow">
      <w:rPr>
        <w:b/>
        <w:bCs/>
        <w:color w:val="000000" w:themeColor="text1"/>
        <w14:textFill>
          <w14:solidFill>
            <w14:schemeClr w14:val="tx1"/>
          </w14:solidFill>
        </w14:textFill>
      </w:rPr>
      <w:tcPr>
        <w:shd w:val="clear" w:color="auto" w:fill="E5B8B7" w:themeFill="accent2" w:themeFillTint="66"/>
      </w:tcPr>
    </w:tblStylePr>
    <w:tblStylePr w:type="firstCol">
      <w:rPr>
        <w:color w:val="FFFFFF" w:themeColor="background1"/>
        <w14:textFill>
          <w14:solidFill>
            <w14:schemeClr w14:val="bg1"/>
          </w14:solidFill>
        </w14:textFill>
      </w:rPr>
      <w:tcPr>
        <w:shd w:val="clear" w:color="auto" w:fill="943734" w:themeFill="accent2" w:themeFillShade="BF"/>
      </w:tcPr>
    </w:tblStylePr>
    <w:tblStylePr w:type="lastCol">
      <w:rPr>
        <w:color w:val="FFFFFF" w:themeColor="background1"/>
        <w14:textFill>
          <w14:solidFill>
            <w14:schemeClr w14:val="bg1"/>
          </w14:solidFill>
        </w14:textFill>
      </w:rPr>
      <w:tcPr>
        <w:shd w:val="clear" w:color="auto" w:fill="943734" w:themeFill="accent2" w:themeFillShade="BF"/>
      </w:tc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60">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cPr>
        <w:shd w:val="clear" w:color="auto" w:fill="D6E3BC" w:themeFill="accent3" w:themeFillTint="66"/>
      </w:tcPr>
    </w:tblStylePr>
    <w:tblStylePr w:type="lastRow">
      <w:rPr>
        <w:b/>
        <w:bCs/>
        <w:color w:val="000000" w:themeColor="text1"/>
        <w14:textFill>
          <w14:solidFill>
            <w14:schemeClr w14:val="tx1"/>
          </w14:solidFill>
        </w14:textFill>
      </w:rPr>
      <w:tcPr>
        <w:shd w:val="clear" w:color="auto" w:fill="D6E3BC" w:themeFill="accent3" w:themeFillTint="66"/>
      </w:tcPr>
    </w:tblStylePr>
    <w:tblStylePr w:type="firstCol">
      <w:rPr>
        <w:color w:val="FFFFFF" w:themeColor="background1"/>
        <w14:textFill>
          <w14:solidFill>
            <w14:schemeClr w14:val="bg1"/>
          </w14:solidFill>
        </w14:textFill>
      </w:rPr>
      <w:tcPr>
        <w:shd w:val="clear" w:color="auto" w:fill="76923C" w:themeFill="accent3" w:themeFillShade="BF"/>
      </w:tcPr>
    </w:tblStylePr>
    <w:tblStylePr w:type="lastCol">
      <w:rPr>
        <w:color w:val="FFFFFF" w:themeColor="background1"/>
        <w14:textFill>
          <w14:solidFill>
            <w14:schemeClr w14:val="bg1"/>
          </w14:solidFill>
        </w14:textFill>
      </w:rPr>
      <w:tcPr>
        <w:shd w:val="clear" w:color="auto" w:fill="76923C" w:themeFill="accent3" w:themeFillShade="BF"/>
      </w:tc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61">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cPr>
        <w:shd w:val="clear" w:color="auto" w:fill="CCC0D9" w:themeFill="accent4" w:themeFillTint="66"/>
      </w:tcPr>
    </w:tblStylePr>
    <w:tblStylePr w:type="lastRow">
      <w:rPr>
        <w:b/>
        <w:bCs/>
        <w:color w:val="000000" w:themeColor="text1"/>
        <w14:textFill>
          <w14:solidFill>
            <w14:schemeClr w14:val="tx1"/>
          </w14:solidFill>
        </w14:textFill>
      </w:rPr>
      <w:tcPr>
        <w:shd w:val="clear" w:color="auto" w:fill="CCC0D9" w:themeFill="accent4" w:themeFillTint="66"/>
      </w:tcPr>
    </w:tblStylePr>
    <w:tblStylePr w:type="firstCol">
      <w:rPr>
        <w:color w:val="FFFFFF" w:themeColor="background1"/>
        <w14:textFill>
          <w14:solidFill>
            <w14:schemeClr w14:val="bg1"/>
          </w14:solidFill>
        </w14:textFill>
      </w:rPr>
      <w:tcPr>
        <w:shd w:val="clear" w:color="auto" w:fill="5F497A" w:themeFill="accent4" w:themeFillShade="BF"/>
      </w:tcPr>
    </w:tblStylePr>
    <w:tblStylePr w:type="lastCol">
      <w:rPr>
        <w:color w:val="FFFFFF" w:themeColor="background1"/>
        <w14:textFill>
          <w14:solidFill>
            <w14:schemeClr w14:val="bg1"/>
          </w14:solidFill>
        </w14:textFill>
      </w:rPr>
      <w:tcPr>
        <w:shd w:val="clear" w:color="auto" w:fill="5F497A" w:themeFill="accent4" w:themeFillShade="BF"/>
      </w:tc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62">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cPr>
        <w:shd w:val="clear" w:color="auto" w:fill="B6DDE8" w:themeFill="accent5" w:themeFillTint="66"/>
      </w:tcPr>
    </w:tblStylePr>
    <w:tblStylePr w:type="lastRow">
      <w:rPr>
        <w:b/>
        <w:bCs/>
        <w:color w:val="000000" w:themeColor="text1"/>
        <w14:textFill>
          <w14:solidFill>
            <w14:schemeClr w14:val="tx1"/>
          </w14:solidFill>
        </w14:textFill>
      </w:rPr>
      <w:tcPr>
        <w:shd w:val="clear" w:color="auto" w:fill="B6DDE8" w:themeFill="accent5" w:themeFillTint="66"/>
      </w:tcPr>
    </w:tblStylePr>
    <w:tblStylePr w:type="firstCol">
      <w:rPr>
        <w:color w:val="FFFFFF" w:themeColor="background1"/>
        <w14:textFill>
          <w14:solidFill>
            <w14:schemeClr w14:val="bg1"/>
          </w14:solidFill>
        </w14:textFill>
      </w:rPr>
      <w:tcPr>
        <w:shd w:val="clear" w:color="auto" w:fill="31849B" w:themeFill="accent5" w:themeFillShade="BF"/>
      </w:tcPr>
    </w:tblStylePr>
    <w:tblStylePr w:type="lastCol">
      <w:rPr>
        <w:color w:val="FFFFFF" w:themeColor="background1"/>
        <w14:textFill>
          <w14:solidFill>
            <w14:schemeClr w14:val="bg1"/>
          </w14:solidFill>
        </w14:textFill>
      </w:rPr>
      <w:tcPr>
        <w:shd w:val="clear" w:color="auto" w:fill="31849B" w:themeFill="accent5" w:themeFillShade="BF"/>
      </w:tc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63">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cPr>
        <w:shd w:val="clear" w:color="auto" w:fill="FBD4B4" w:themeFill="accent6" w:themeFillTint="66"/>
      </w:tcPr>
    </w:tblStylePr>
    <w:tblStylePr w:type="lastRow">
      <w:rPr>
        <w:b/>
        <w:bCs/>
        <w:color w:val="000000" w:themeColor="text1"/>
        <w14:textFill>
          <w14:solidFill>
            <w14:schemeClr w14:val="tx1"/>
          </w14:solidFill>
        </w14:textFill>
      </w:rPr>
      <w:tcPr>
        <w:shd w:val="clear" w:color="auto" w:fill="FBD4B4" w:themeFill="accent6" w:themeFillTint="66"/>
      </w:tcPr>
    </w:tblStylePr>
    <w:tblStylePr w:type="firstCol">
      <w:rPr>
        <w:color w:val="FFFFFF" w:themeColor="background1"/>
        <w14:textFill>
          <w14:solidFill>
            <w14:schemeClr w14:val="bg1"/>
          </w14:solidFill>
        </w14:textFill>
      </w:rPr>
      <w:tcPr>
        <w:shd w:val="clear" w:color="auto" w:fill="E36C09" w:themeFill="accent6" w:themeFillShade="BF"/>
      </w:tcPr>
    </w:tblStylePr>
    <w:tblStylePr w:type="lastCol">
      <w:rPr>
        <w:color w:val="FFFFFF" w:themeColor="background1"/>
        <w14:textFill>
          <w14:solidFill>
            <w14:schemeClr w14:val="bg1"/>
          </w14:solidFill>
        </w14:textFill>
      </w:rPr>
      <w:tcPr>
        <w:shd w:val="clear" w:color="auto" w:fill="E36C09" w:themeFill="accent6" w:themeFillShade="BF"/>
      </w:tcPr>
    </w:tblStylePr>
    <w:tblStylePr w:type="band1Vert">
      <w:tcPr>
        <w:shd w:val="clear" w:color="auto" w:fill="FBCAA2" w:themeFill="accent6" w:themeFillTint="7F"/>
      </w:tcPr>
    </w:tblStylePr>
    <w:tblStylePr w:type="band1Horz">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2864</Words>
  <Characters>18031</Characters>
  <Lines>0</Lines>
  <Paragraphs>0</Paragraphs>
  <TotalTime>4</TotalTime>
  <ScaleCrop>false</ScaleCrop>
  <LinksUpToDate>false</LinksUpToDate>
  <CharactersWithSpaces>20751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WPS_1776263096</cp:lastModifiedBy>
  <dcterms:modified xsi:type="dcterms:W3CDTF">2026-09-15T14:35:12Z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eyJoZGlkIjoiMzc1MzBmODMzMzU2OThlNzk0ZmFiMDNjNTRhYzNlZWYiLCJ1c2VySWQiOiIxMjM2OTUxMTE1ODcyIn0=</vt:lpwstr>
  </property>
  <property fmtid="{D5CDD505-2E9C-101B-9397-08002B2CF9AE}" pid="3" name="KSOProductBuildVer">
    <vt:lpwstr>1046-12.1.0.28485</vt:lpwstr>
  </property>
  <property fmtid="{D5CDD505-2E9C-101B-9397-08002B2CF9AE}" pid="4" name="ICV">
    <vt:lpwstr>A146BC24E0AC4E9AA784206B78DD06B6_12</vt:lpwstr>
  </property>
</Properties>
</file>